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22C2AF6" w:rsidR="00824313" w:rsidRPr="00CA5788" w:rsidRDefault="00D22393" w:rsidP="00824313">
      <w:r>
        <w:t>Juin</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14C37E7" w:rsidR="00052A43" w:rsidRDefault="00824313" w:rsidP="00824313">
      <w:pPr>
        <w:pStyle w:val="Titre"/>
      </w:pPr>
      <w:r>
        <w:t xml:space="preserve">Nouveautés de la version </w:t>
      </w:r>
      <w:r w:rsidR="00CF68B3">
        <w:t>3.</w:t>
      </w:r>
      <w:r w:rsidR="00022608">
        <w:t>3</w:t>
      </w:r>
      <w:r w:rsidR="00D22393">
        <w:t>4</w:t>
      </w:r>
      <w:r w:rsidR="0064528D">
        <w:t>.</w:t>
      </w:r>
      <w:r w:rsidR="007F2F3B">
        <w:t>1</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AE94288" w:rsidR="00824313" w:rsidRDefault="00BB3902" w:rsidP="008107BC">
      <w:pPr>
        <w:jc w:val="center"/>
      </w:pPr>
      <w:r>
        <w:rPr>
          <w:noProof/>
        </w:rPr>
        <w:drawing>
          <wp:inline distT="0" distB="0" distL="0" distR="0" wp14:anchorId="398D8B98" wp14:editId="11AA498E">
            <wp:extent cx="2057400" cy="1323975"/>
            <wp:effectExtent l="0" t="0" r="0" b="0"/>
            <wp:docPr id="945742991"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42991"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D7702C4" w14:textId="54A445E6" w:rsidR="00F950FB" w:rsidRPr="00F950FB" w:rsidRDefault="00542CAD" w:rsidP="006F11E3">
      <w:pPr>
        <w:pStyle w:val="Titre1"/>
      </w:pPr>
      <w:r>
        <w:br w:type="page"/>
      </w:r>
    </w:p>
    <w:p w14:paraId="459582A3" w14:textId="17CEA705" w:rsidR="00BD1356" w:rsidRDefault="00BD1356" w:rsidP="00BD1356">
      <w:pPr>
        <w:pStyle w:val="Titre1"/>
      </w:pPr>
      <w:r>
        <w:lastRenderedPageBreak/>
        <w:t>Général</w:t>
      </w:r>
    </w:p>
    <w:p w14:paraId="57E5A7FF" w14:textId="00292481" w:rsidR="00E1653A" w:rsidRDefault="00BD1356" w:rsidP="00E1653A">
      <w:pPr>
        <w:pStyle w:val="Titre2"/>
      </w:pPr>
      <w:r>
        <w:t>CG01 : Les tables non référencées dans l'écran "GRH &gt; Liste de contrôle &gt; Vie des carrières" ne devraient plus proposer le lien rapide dans les écrans de gestion (ex : "GRH &gt; Agents Externes &gt; Détails agents ext &gt; Compétences") [Mantis #8316]</w:t>
      </w:r>
    </w:p>
    <w:p w14:paraId="3BF44E7B" w14:textId="035440F7" w:rsidR="00E1653A" w:rsidRDefault="00E1653A" w:rsidP="00E1653A">
      <w:r>
        <w:t>Avant la correction, le lien vers l’écran « vie des carrières » pouvait être proposé</w:t>
      </w:r>
      <w:r w:rsidR="00FC7A35">
        <w:t xml:space="preserve"> alors que la table concernée n’y était pas référencée :</w:t>
      </w:r>
    </w:p>
    <w:p w14:paraId="6EFC2F2F" w14:textId="7D3F33B1" w:rsidR="00FC7A35" w:rsidRDefault="00E95304" w:rsidP="00E1653A">
      <w:r>
        <w:rPr>
          <w:noProof/>
        </w:rPr>
        <w:drawing>
          <wp:inline distT="0" distB="0" distL="0" distR="0" wp14:anchorId="7CAEFDEA" wp14:editId="787FA4C8">
            <wp:extent cx="5760720" cy="968375"/>
            <wp:effectExtent l="0" t="0" r="0" b="0"/>
            <wp:docPr id="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igne, nombr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968375"/>
                    </a:xfrm>
                    <a:prstGeom prst="rect">
                      <a:avLst/>
                    </a:prstGeom>
                  </pic:spPr>
                </pic:pic>
              </a:graphicData>
            </a:graphic>
          </wp:inline>
        </w:drawing>
      </w:r>
    </w:p>
    <w:p w14:paraId="602FA6C7" w14:textId="2AD0C9A4" w:rsidR="00E95304" w:rsidRDefault="00E95304" w:rsidP="00E1653A">
      <w:r>
        <w:rPr>
          <w:noProof/>
        </w:rPr>
        <w:drawing>
          <wp:inline distT="0" distB="0" distL="0" distR="0" wp14:anchorId="3D6804D8" wp14:editId="57D77378">
            <wp:extent cx="5760720" cy="909955"/>
            <wp:effectExtent l="0" t="0" r="0" b="0"/>
            <wp:docPr id="34" name="Image 34"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capture d’écran&#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909955"/>
                    </a:xfrm>
                    <a:prstGeom prst="rect">
                      <a:avLst/>
                    </a:prstGeom>
                  </pic:spPr>
                </pic:pic>
              </a:graphicData>
            </a:graphic>
          </wp:inline>
        </w:drawing>
      </w:r>
    </w:p>
    <w:p w14:paraId="5C50F92D" w14:textId="5028E456" w:rsidR="00E95304" w:rsidRDefault="00E95304" w:rsidP="00E1653A">
      <w:r>
        <w:t>Après la correction :</w:t>
      </w:r>
    </w:p>
    <w:p w14:paraId="4A0CEC30" w14:textId="6F05FC6F" w:rsidR="00681121" w:rsidRPr="00E1653A" w:rsidRDefault="00681121" w:rsidP="00E1653A">
      <w:r>
        <w:rPr>
          <w:noProof/>
        </w:rPr>
        <w:drawing>
          <wp:inline distT="0" distB="0" distL="0" distR="0" wp14:anchorId="53B21DB4" wp14:editId="3501A9DF">
            <wp:extent cx="5760720" cy="1123950"/>
            <wp:effectExtent l="0" t="0" r="0" b="0"/>
            <wp:docPr id="35" name="Image 35"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igne, nombre, Police&#10;&#10;Description générée automatiquement"/>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123950"/>
                    </a:xfrm>
                    <a:prstGeom prst="rect">
                      <a:avLst/>
                    </a:prstGeom>
                  </pic:spPr>
                </pic:pic>
              </a:graphicData>
            </a:graphic>
          </wp:inline>
        </w:drawing>
      </w:r>
    </w:p>
    <w:p w14:paraId="6BE92AC0" w14:textId="77777777" w:rsidR="004C62D6" w:rsidRDefault="00BD1356" w:rsidP="00BD1356">
      <w:pPr>
        <w:pStyle w:val="Titre2"/>
        <w:rPr>
          <w:noProof/>
        </w:rPr>
      </w:pPr>
      <w:r>
        <w:t>CG02 : Correction de la rétention du filtre "inclure les sous-services" dans plusieurs écrans, notamment "GRH &gt; Etat des formations &gt; [FMPA suivies | Candidature]" entre les différentes pages de résultats [Mantis #8313]</w:t>
      </w:r>
      <w:r w:rsidR="004C62D6" w:rsidRPr="004C62D6">
        <w:rPr>
          <w:noProof/>
        </w:rPr>
        <w:t xml:space="preserve"> </w:t>
      </w:r>
    </w:p>
    <w:p w14:paraId="647D4B9D" w14:textId="37767422" w:rsidR="004C62D6" w:rsidRPr="004C62D6" w:rsidRDefault="004C62D6" w:rsidP="00880A8D">
      <w:r>
        <w:rPr>
          <w:noProof/>
        </w:rPr>
        <w:drawing>
          <wp:inline distT="0" distB="0" distL="0" distR="0" wp14:anchorId="54252D9D" wp14:editId="425D0BCC">
            <wp:extent cx="5760720" cy="2049145"/>
            <wp:effectExtent l="0" t="0" r="0" b="0"/>
            <wp:docPr id="7" name="Image 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ogiciel, Icône d’ordinateur, Page web&#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49145"/>
                    </a:xfrm>
                    <a:prstGeom prst="rect">
                      <a:avLst/>
                    </a:prstGeom>
                  </pic:spPr>
                </pic:pic>
              </a:graphicData>
            </a:graphic>
          </wp:inline>
        </w:drawing>
      </w:r>
    </w:p>
    <w:p w14:paraId="67439263"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62C11B" w14:textId="54D4D616" w:rsidR="00477C04" w:rsidRPr="00477C04" w:rsidRDefault="009D018D" w:rsidP="00477C04">
      <w:r w:rsidRPr="009D018D">
        <w:rPr>
          <w:rFonts w:asciiTheme="majorHAnsi" w:eastAsiaTheme="majorEastAsia" w:hAnsiTheme="majorHAnsi" w:cstheme="majorBidi"/>
          <w:color w:val="2F5496" w:themeColor="accent1" w:themeShade="BF"/>
          <w:sz w:val="24"/>
          <w:szCs w:val="24"/>
        </w:rPr>
        <w:lastRenderedPageBreak/>
        <w:t>CG03 : Ajout d'une traduction "BTN_EMPLOIS" pour "Emplois" (première lettre en majuscule et "s" à la fin) pour le bouton "Emplois" des écrans de détails des livrets individuels [Mantis #8313]</w:t>
      </w:r>
      <w:r w:rsidR="00477C04">
        <w:rPr>
          <w:noProof/>
        </w:rPr>
        <w:drawing>
          <wp:inline distT="0" distB="0" distL="0" distR="0" wp14:anchorId="38D6A0E9" wp14:editId="2A0C152A">
            <wp:extent cx="5760720" cy="1332230"/>
            <wp:effectExtent l="0" t="0" r="0" b="0"/>
            <wp:docPr id="8" name="Image 8"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logiciel&#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332230"/>
                    </a:xfrm>
                    <a:prstGeom prst="rect">
                      <a:avLst/>
                    </a:prstGeom>
                  </pic:spPr>
                </pic:pic>
              </a:graphicData>
            </a:graphic>
          </wp:inline>
        </w:drawing>
      </w:r>
    </w:p>
    <w:p w14:paraId="0907830C" w14:textId="5817451C" w:rsidR="00BD1356" w:rsidRDefault="00BD1356" w:rsidP="00BD1356">
      <w:pPr>
        <w:pStyle w:val="Titre1"/>
      </w:pPr>
      <w:r>
        <w:t>GPEC</w:t>
      </w:r>
    </w:p>
    <w:p w14:paraId="3C43B229" w14:textId="0F29EE3A" w:rsidR="009106FB" w:rsidRDefault="009106FB" w:rsidP="00BD1356">
      <w:pPr>
        <w:pStyle w:val="Titre2"/>
      </w:pPr>
      <w:r w:rsidRPr="009106FB">
        <w:t>CP01 : Les boutons "Ajouter" en bas à droite des sous-écran des détails des postes-types et postes (grades, emplois, documents, affectations) auront dorénavant leur utilité originelle : afficher le formulaire de saisie qui, dans les versions précédentes, étaient toujours affichés par erreur [Mantis #8314]</w:t>
      </w:r>
    </w:p>
    <w:p w14:paraId="2A5AF9BC" w14:textId="5B17C6C6" w:rsidR="00DC3FF5" w:rsidRDefault="00DC3FF5" w:rsidP="00DC3FF5">
      <w:r>
        <w:rPr>
          <w:noProof/>
        </w:rPr>
        <w:drawing>
          <wp:inline distT="0" distB="0" distL="0" distR="0" wp14:anchorId="3A3177AA" wp14:editId="7CE54009">
            <wp:extent cx="5760720" cy="2102485"/>
            <wp:effectExtent l="0" t="0" r="0" b="0"/>
            <wp:docPr id="12" name="Image 12"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logiciel, nombre, Page web&#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02485"/>
                    </a:xfrm>
                    <a:prstGeom prst="rect">
                      <a:avLst/>
                    </a:prstGeom>
                  </pic:spPr>
                </pic:pic>
              </a:graphicData>
            </a:graphic>
          </wp:inline>
        </w:drawing>
      </w:r>
    </w:p>
    <w:p w14:paraId="201E1077" w14:textId="77777777" w:rsidR="00DC3FF5" w:rsidRDefault="00DC3FF5" w:rsidP="00DC3FF5"/>
    <w:p w14:paraId="7FE71AC5" w14:textId="316C80A5" w:rsidR="009C4AA8" w:rsidRDefault="009C4AA8" w:rsidP="00DC3FF5">
      <w:r>
        <w:rPr>
          <w:noProof/>
        </w:rPr>
        <w:drawing>
          <wp:inline distT="0" distB="0" distL="0" distR="0" wp14:anchorId="2A900D6A" wp14:editId="195CA84D">
            <wp:extent cx="5760720" cy="1244600"/>
            <wp:effectExtent l="0" t="0" r="0" b="0"/>
            <wp:docPr id="13" name="Image 1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Police, nombr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44600"/>
                    </a:xfrm>
                    <a:prstGeom prst="rect">
                      <a:avLst/>
                    </a:prstGeom>
                  </pic:spPr>
                </pic:pic>
              </a:graphicData>
            </a:graphic>
          </wp:inline>
        </w:drawing>
      </w:r>
    </w:p>
    <w:p w14:paraId="3F3B6F04" w14:textId="77777777" w:rsidR="002266EB" w:rsidRDefault="002266EB" w:rsidP="00DC3FF5"/>
    <w:p w14:paraId="43F51093" w14:textId="23999FC6" w:rsidR="002266EB" w:rsidRPr="00DC3FF5" w:rsidRDefault="002266EB" w:rsidP="00DC3FF5">
      <w:r>
        <w:t>Il est possible que la coquille subsiste sur l’écran des mobilités</w:t>
      </w:r>
      <w:r w:rsidR="00702A18">
        <w:t>, une correction sera apportée prochainement</w:t>
      </w:r>
      <w:r>
        <w:t>.</w:t>
      </w:r>
    </w:p>
    <w:p w14:paraId="762598D5"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AF954D3" w14:textId="2653C126" w:rsidR="00BD1356" w:rsidRDefault="00BD1356" w:rsidP="00BD1356">
      <w:pPr>
        <w:pStyle w:val="Titre2"/>
      </w:pPr>
      <w:r>
        <w:lastRenderedPageBreak/>
        <w:t>CP02 : Le filtre "Date d'effet" de l'écran "GPEC &gt; Rapports &gt; Non affectés" sera dorénavant graphiquement obligatoire afin de représenter au mieux son fonctionnement [Mantis #8311]</w:t>
      </w:r>
    </w:p>
    <w:p w14:paraId="222AB9A9" w14:textId="6EBEA84D" w:rsidR="000D0843" w:rsidRPr="000D0843" w:rsidRDefault="000D0843" w:rsidP="000D0843">
      <w:r>
        <w:rPr>
          <w:noProof/>
        </w:rPr>
        <w:drawing>
          <wp:inline distT="0" distB="0" distL="0" distR="0" wp14:anchorId="234B903B" wp14:editId="36F4446E">
            <wp:extent cx="5760720" cy="1383030"/>
            <wp:effectExtent l="0" t="0" r="0" b="0"/>
            <wp:docPr id="36" name="Image 36"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logiciel, lign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383030"/>
                    </a:xfrm>
                    <a:prstGeom prst="rect">
                      <a:avLst/>
                    </a:prstGeom>
                  </pic:spPr>
                </pic:pic>
              </a:graphicData>
            </a:graphic>
          </wp:inline>
        </w:drawing>
      </w:r>
    </w:p>
    <w:p w14:paraId="1A37E005" w14:textId="55C589AE" w:rsidR="00BD1356" w:rsidRDefault="00BD1356" w:rsidP="00BD1356">
      <w:pPr>
        <w:pStyle w:val="Titre2"/>
      </w:pPr>
      <w:r>
        <w:t>CP03A : Le filtre "Date d'effet" de l'écran "GPEC &gt; Rapports &gt; Quotité" sera dorénavant graphiquement obligatoire afin de représenter au mieux son fonctionnement [Mantis #8309]</w:t>
      </w:r>
    </w:p>
    <w:p w14:paraId="632729AC" w14:textId="4DAF1570" w:rsidR="0099094F" w:rsidRPr="0099094F" w:rsidRDefault="0099094F" w:rsidP="0099094F">
      <w:r>
        <w:rPr>
          <w:noProof/>
        </w:rPr>
        <w:drawing>
          <wp:inline distT="0" distB="0" distL="0" distR="0" wp14:anchorId="50D63630" wp14:editId="1619D1A9">
            <wp:extent cx="5760720" cy="1994535"/>
            <wp:effectExtent l="0" t="0" r="0" b="0"/>
            <wp:docPr id="9" name="Image 9"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Icône d’ordinateur, Logiciel multimédia&#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94535"/>
                    </a:xfrm>
                    <a:prstGeom prst="rect">
                      <a:avLst/>
                    </a:prstGeom>
                  </pic:spPr>
                </pic:pic>
              </a:graphicData>
            </a:graphic>
          </wp:inline>
        </w:drawing>
      </w:r>
    </w:p>
    <w:p w14:paraId="6C99F096" w14:textId="26C93570" w:rsidR="00BD1356" w:rsidRDefault="00BD1356" w:rsidP="00BD1356">
      <w:pPr>
        <w:pStyle w:val="Titre2"/>
      </w:pPr>
      <w:r>
        <w:t>CP03B : Le filtre "Intitulé du poste" de l'écran "GPEC &gt; Rapports &gt; Quotité" devrait dorénavant être conservé en cas de changement de page de résultat [Mantis #8309]</w:t>
      </w:r>
    </w:p>
    <w:p w14:paraId="2A11CC32" w14:textId="23312A54" w:rsidR="00616DED" w:rsidRPr="00616DED" w:rsidRDefault="00616DED" w:rsidP="00616DED">
      <w:r>
        <w:rPr>
          <w:noProof/>
        </w:rPr>
        <w:drawing>
          <wp:inline distT="0" distB="0" distL="0" distR="0" wp14:anchorId="3031A279" wp14:editId="74E5B70A">
            <wp:extent cx="5760720" cy="2161540"/>
            <wp:effectExtent l="0" t="0" r="0" b="0"/>
            <wp:docPr id="10" name="Image 10"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61540"/>
                    </a:xfrm>
                    <a:prstGeom prst="rect">
                      <a:avLst/>
                    </a:prstGeom>
                  </pic:spPr>
                </pic:pic>
              </a:graphicData>
            </a:graphic>
          </wp:inline>
        </w:drawing>
      </w:r>
    </w:p>
    <w:p w14:paraId="0EF98093"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AFA359" w14:textId="1B650EE7" w:rsidR="00BD1356" w:rsidRDefault="00BD1356" w:rsidP="00BD1356">
      <w:pPr>
        <w:pStyle w:val="Titre2"/>
      </w:pPr>
      <w:r>
        <w:lastRenderedPageBreak/>
        <w:t>CP04 : Correction du changement de page de résultat sur les écrans "GPEC &gt; Adéquation &gt; Par Affectation" et "Par Mobilité" [Mantis #8308]</w:t>
      </w:r>
    </w:p>
    <w:p w14:paraId="03270AF7" w14:textId="03D2346F" w:rsidR="00BD1356" w:rsidRDefault="00D02F4E" w:rsidP="00BD1356">
      <w:r>
        <w:rPr>
          <w:noProof/>
        </w:rPr>
        <w:drawing>
          <wp:inline distT="0" distB="0" distL="0" distR="0" wp14:anchorId="3232281E" wp14:editId="0865FC7B">
            <wp:extent cx="5760720" cy="1566545"/>
            <wp:effectExtent l="0" t="0" r="0" b="0"/>
            <wp:docPr id="11" name="Image 1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logiciel, Icône d’ordinateur,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566545"/>
                    </a:xfrm>
                    <a:prstGeom prst="rect">
                      <a:avLst/>
                    </a:prstGeom>
                  </pic:spPr>
                </pic:pic>
              </a:graphicData>
            </a:graphic>
          </wp:inline>
        </w:drawing>
      </w:r>
    </w:p>
    <w:p w14:paraId="7D009CF3" w14:textId="0CA990DB" w:rsidR="00385556" w:rsidRDefault="00385556" w:rsidP="00385556">
      <w:pPr>
        <w:pStyle w:val="Titre2"/>
      </w:pPr>
      <w:r>
        <w:t>CP05 : L'écran "GPEC &gt; Postes &gt; Détails &gt; Mobilité" ne devrait plus afficher de doublons avec certaines configurations de sécurité [Mantis #8312]</w:t>
      </w:r>
    </w:p>
    <w:p w14:paraId="40794413" w14:textId="227ABB4B" w:rsidR="000378EA" w:rsidRDefault="000378EA" w:rsidP="000378EA">
      <w:r>
        <w:t>Avant la correction :</w:t>
      </w:r>
    </w:p>
    <w:p w14:paraId="380E1E07" w14:textId="213B5BCD" w:rsidR="000378EA" w:rsidRDefault="000378EA" w:rsidP="000378EA">
      <w:r>
        <w:rPr>
          <w:noProof/>
        </w:rPr>
        <w:drawing>
          <wp:inline distT="0" distB="0" distL="0" distR="0" wp14:anchorId="7D3D9D43" wp14:editId="308F2397">
            <wp:extent cx="5760720" cy="1529080"/>
            <wp:effectExtent l="0" t="0" r="0" b="0"/>
            <wp:docPr id="16" name="Image 16"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Police, capture d’écran,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29080"/>
                    </a:xfrm>
                    <a:prstGeom prst="rect">
                      <a:avLst/>
                    </a:prstGeom>
                  </pic:spPr>
                </pic:pic>
              </a:graphicData>
            </a:graphic>
          </wp:inline>
        </w:drawing>
      </w:r>
    </w:p>
    <w:p w14:paraId="25380D26" w14:textId="77777777" w:rsidR="000378EA" w:rsidRDefault="000378EA" w:rsidP="000378EA"/>
    <w:p w14:paraId="7C33E13C" w14:textId="4E834361" w:rsidR="000378EA" w:rsidRDefault="000378EA" w:rsidP="000378EA">
      <w:r>
        <w:t>Après la correction :</w:t>
      </w:r>
    </w:p>
    <w:p w14:paraId="0FA89E07" w14:textId="2F6AAE92" w:rsidR="000378EA" w:rsidRPr="000378EA" w:rsidRDefault="00446F36" w:rsidP="000378EA">
      <w:r>
        <w:rPr>
          <w:noProof/>
        </w:rPr>
        <w:drawing>
          <wp:inline distT="0" distB="0" distL="0" distR="0" wp14:anchorId="2AB7D981" wp14:editId="18D562AE">
            <wp:extent cx="5760720" cy="1462405"/>
            <wp:effectExtent l="0" t="0" r="0" b="0"/>
            <wp:docPr id="17" name="Image 17"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olice, nombre, lign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462405"/>
                    </a:xfrm>
                    <a:prstGeom prst="rect">
                      <a:avLst/>
                    </a:prstGeom>
                  </pic:spPr>
                </pic:pic>
              </a:graphicData>
            </a:graphic>
          </wp:inline>
        </w:drawing>
      </w:r>
    </w:p>
    <w:p w14:paraId="06B4E200" w14:textId="31D252B3" w:rsidR="00F60E6D" w:rsidRDefault="00385556" w:rsidP="00F60E6D">
      <w:pPr>
        <w:pStyle w:val="Titre2"/>
      </w:pPr>
      <w:r>
        <w:t>CP06 : Correction des caractères spéciaux dans le filtre "Poste" des écrans "GPEC &gt; Adéquation" [Mantis #8343]</w:t>
      </w:r>
    </w:p>
    <w:p w14:paraId="09119B5F" w14:textId="39B73590" w:rsidR="00277592" w:rsidRDefault="00277592" w:rsidP="00277592">
      <w:r>
        <w:t>Avant la correction :</w:t>
      </w:r>
    </w:p>
    <w:p w14:paraId="31FED00A" w14:textId="7B0C6591" w:rsidR="00277592" w:rsidRDefault="001F0FE2" w:rsidP="00277592">
      <w:r>
        <w:rPr>
          <w:noProof/>
        </w:rPr>
        <w:drawing>
          <wp:inline distT="0" distB="0" distL="0" distR="0" wp14:anchorId="25A1753F" wp14:editId="6889303E">
            <wp:extent cx="5760720" cy="1808480"/>
            <wp:effectExtent l="0" t="0" r="0" b="0"/>
            <wp:docPr id="21" name="Image 2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logiciel, Icône d’ordinateur, Page web&#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6B4FC7E4" w14:textId="77777777" w:rsidR="00711645" w:rsidRDefault="00711645" w:rsidP="00277592"/>
    <w:p w14:paraId="61D452BC" w14:textId="0A835490" w:rsidR="001F0FE2" w:rsidRDefault="001F0FE2" w:rsidP="00277592">
      <w:r>
        <w:lastRenderedPageBreak/>
        <w:t>Après la correction :</w:t>
      </w:r>
    </w:p>
    <w:p w14:paraId="4E9774C8" w14:textId="435EDA5F" w:rsidR="001F0FE2" w:rsidRDefault="00711645" w:rsidP="00277592">
      <w:r>
        <w:rPr>
          <w:noProof/>
        </w:rPr>
        <w:drawing>
          <wp:inline distT="0" distB="0" distL="0" distR="0" wp14:anchorId="28EC5218" wp14:editId="4C62EF4E">
            <wp:extent cx="5760720" cy="1864360"/>
            <wp:effectExtent l="0" t="0" r="0" b="0"/>
            <wp:docPr id="22" name="Image 2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iciel, Icône d’ordinateur, Page web&#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864360"/>
                    </a:xfrm>
                    <a:prstGeom prst="rect">
                      <a:avLst/>
                    </a:prstGeom>
                  </pic:spPr>
                </pic:pic>
              </a:graphicData>
            </a:graphic>
          </wp:inline>
        </w:drawing>
      </w:r>
    </w:p>
    <w:p w14:paraId="583454EB" w14:textId="4390039D" w:rsidR="00862F62" w:rsidRDefault="00C20E54" w:rsidP="00862F62">
      <w:pPr>
        <w:pStyle w:val="Titre2"/>
      </w:pPr>
      <w:r w:rsidRPr="00C20E54">
        <w:t>CP07 : La modification d'une compétence dans une fiche de poste ne devrait plus proposer un poids multiplié par 100 [Mantis #8361]</w:t>
      </w:r>
    </w:p>
    <w:p w14:paraId="2CD4CE2C" w14:textId="55E937C8" w:rsidR="00862F62" w:rsidRDefault="00862F62" w:rsidP="00862F62">
      <w:r>
        <w:t xml:space="preserve">Avant la correction : </w:t>
      </w:r>
    </w:p>
    <w:p w14:paraId="7F749419" w14:textId="6EC3B1F6" w:rsidR="00862F62" w:rsidRDefault="007A2FF9" w:rsidP="00862F62">
      <w:r>
        <w:rPr>
          <w:noProof/>
        </w:rPr>
        <w:drawing>
          <wp:inline distT="0" distB="0" distL="0" distR="0" wp14:anchorId="648F16DD" wp14:editId="361BB0F9">
            <wp:extent cx="5760720" cy="1201420"/>
            <wp:effectExtent l="0" t="0" r="0" b="0"/>
            <wp:docPr id="24" name="Image 2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Police,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7CAF5520" w14:textId="604365FC" w:rsidR="00862F62" w:rsidRDefault="00862F62" w:rsidP="00862F62">
      <w:r>
        <w:t>Après la correction :</w:t>
      </w:r>
    </w:p>
    <w:p w14:paraId="346439D0" w14:textId="152382A7" w:rsidR="003604F2" w:rsidRPr="00862F62" w:rsidRDefault="003604F2" w:rsidP="00862F62">
      <w:r>
        <w:rPr>
          <w:noProof/>
        </w:rPr>
        <w:drawing>
          <wp:inline distT="0" distB="0" distL="0" distR="0" wp14:anchorId="0E5802E8" wp14:editId="77CBD345">
            <wp:extent cx="5760720" cy="1093470"/>
            <wp:effectExtent l="0" t="0" r="0" b="0"/>
            <wp:docPr id="25" name="Image 25"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olice, capture d’écran, nombr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093470"/>
                    </a:xfrm>
                    <a:prstGeom prst="rect">
                      <a:avLst/>
                    </a:prstGeom>
                  </pic:spPr>
                </pic:pic>
              </a:graphicData>
            </a:graphic>
          </wp:inline>
        </w:drawing>
      </w:r>
    </w:p>
    <w:p w14:paraId="7DAA8000" w14:textId="2774ED5D" w:rsidR="00F60E6D" w:rsidRDefault="00F60E6D" w:rsidP="00F60E6D">
      <w:pPr>
        <w:pStyle w:val="Titre1"/>
      </w:pPr>
      <w:r>
        <w:t>Conventions Dispo SDIS-Employeur</w:t>
      </w:r>
    </w:p>
    <w:p w14:paraId="3CA98474" w14:textId="0EA2441E" w:rsidR="00F60E6D" w:rsidRDefault="00F60E6D" w:rsidP="00F60E6D">
      <w:pPr>
        <w:pStyle w:val="Titre2"/>
      </w:pPr>
      <w:r>
        <w:t>ED01 : Le champ "Raison Sociale" de la table "Employeurs" admettra dorénavant jusqu'à 80 caractères au lieu de 50 [Mantis #8101]</w:t>
      </w:r>
    </w:p>
    <w:p w14:paraId="0D020911" w14:textId="5325A4C8" w:rsidR="007974A6" w:rsidRDefault="007974A6" w:rsidP="007974A6">
      <w:r>
        <w:t>GRH/Administration &gt; Divers GRH &gt; Employeurs</w:t>
      </w:r>
    </w:p>
    <w:p w14:paraId="436208F9" w14:textId="07F8C0E0" w:rsidR="007974A6" w:rsidRPr="007974A6" w:rsidRDefault="007974A6" w:rsidP="007974A6">
      <w:r>
        <w:rPr>
          <w:noProof/>
        </w:rPr>
        <w:drawing>
          <wp:inline distT="0" distB="0" distL="0" distR="0" wp14:anchorId="6D0C04DA" wp14:editId="4872A9A7">
            <wp:extent cx="5760720" cy="2282825"/>
            <wp:effectExtent l="0" t="0" r="0" b="0"/>
            <wp:docPr id="23" name="Image 23"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logiciel, Icône d’ordinateur, nombr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82825"/>
                    </a:xfrm>
                    <a:prstGeom prst="rect">
                      <a:avLst/>
                    </a:prstGeom>
                  </pic:spPr>
                </pic:pic>
              </a:graphicData>
            </a:graphic>
          </wp:inline>
        </w:drawing>
      </w:r>
    </w:p>
    <w:p w14:paraId="0BDC4880" w14:textId="2752D6CA" w:rsidR="00BD1356" w:rsidRDefault="00BD1356" w:rsidP="00BD1356">
      <w:pPr>
        <w:pStyle w:val="Titre1"/>
      </w:pPr>
      <w:r>
        <w:lastRenderedPageBreak/>
        <w:t>Formation</w:t>
      </w:r>
    </w:p>
    <w:p w14:paraId="5BE791DD" w14:textId="076D29A3" w:rsidR="00BD1356" w:rsidRDefault="00BD1356" w:rsidP="00BD1356">
      <w:pPr>
        <w:pStyle w:val="Titre2"/>
      </w:pPr>
      <w:r>
        <w:t>CF01 : La traduction par défaut "Vacations SPV uniquement" du filtre correspondant dans l'écran "GRH &gt; Etats Spécifique &gt; Vacation versées" sera dorénavant "Stagiaires uniquement" pour mieux correspondre à l'action de ce filtre [Mantis #8317]</w:t>
      </w:r>
    </w:p>
    <w:p w14:paraId="0CB80FDB" w14:textId="4E3B19B8" w:rsidR="00571A80" w:rsidRDefault="00571A80" w:rsidP="00571A80">
      <w:r>
        <w:rPr>
          <w:noProof/>
        </w:rPr>
        <w:drawing>
          <wp:inline distT="0" distB="0" distL="0" distR="0" wp14:anchorId="4C5691A4" wp14:editId="266BE0EF">
            <wp:extent cx="5760720" cy="1229360"/>
            <wp:effectExtent l="0" t="0" r="0" b="0"/>
            <wp:docPr id="18" name="Imag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Icône d’ordinateur&#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29805850" w14:textId="537A5477" w:rsidR="00571A80" w:rsidRDefault="00571A80" w:rsidP="00571A80">
      <w:r>
        <w:t xml:space="preserve">La traduction par défaut ne s’appliquera qu’aux environnements nouvellement </w:t>
      </w:r>
      <w:r w:rsidR="008030D1">
        <w:t>installés.</w:t>
      </w:r>
    </w:p>
    <w:p w14:paraId="369A4768" w14:textId="77777777" w:rsidR="007D29BA" w:rsidRDefault="008030D1" w:rsidP="00571A80">
      <w:r>
        <w:t xml:space="preserve">Il est possible de modifier le libellé via « Outils &gt; Requêteur &gt; Traduction », libellé technique </w:t>
      </w:r>
      <w:r w:rsidR="007D29BA" w:rsidRPr="007D29BA">
        <w:t>TXT_VACATIONS_SPV</w:t>
      </w:r>
      <w:r w:rsidR="007D29BA">
        <w:t> :</w:t>
      </w:r>
    </w:p>
    <w:p w14:paraId="09FA0E51" w14:textId="64F2E1B9" w:rsidR="008030D1" w:rsidRDefault="007D29BA" w:rsidP="00571A80">
      <w:r>
        <w:rPr>
          <w:noProof/>
        </w:rPr>
        <w:drawing>
          <wp:inline distT="0" distB="0" distL="0" distR="0" wp14:anchorId="6CE016F7" wp14:editId="14D07518">
            <wp:extent cx="5760720" cy="1356360"/>
            <wp:effectExtent l="0" t="0" r="0" b="0"/>
            <wp:docPr id="20" name="Image 20"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logiciel, capture d’écran, Logiciel multimédia&#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356360"/>
                    </a:xfrm>
                    <a:prstGeom prst="rect">
                      <a:avLst/>
                    </a:prstGeom>
                  </pic:spPr>
                </pic:pic>
              </a:graphicData>
            </a:graphic>
          </wp:inline>
        </w:drawing>
      </w:r>
      <w:r w:rsidRPr="007D29BA">
        <w:t xml:space="preserve"> </w:t>
      </w:r>
      <w:r w:rsidR="008030D1">
        <w:t>«</w:t>
      </w:r>
      <w:r w:rsidR="008030D1">
        <w:rPr>
          <w:noProof/>
        </w:rPr>
        <w:drawing>
          <wp:inline distT="0" distB="0" distL="0" distR="0" wp14:anchorId="6FFDA0FB" wp14:editId="4258C900">
            <wp:extent cx="5760720" cy="12293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6F28DE62" w14:textId="0DE83810" w:rsidR="00072CDD" w:rsidRDefault="00072CDD">
      <w:pPr>
        <w:spacing w:after="160" w:line="259" w:lineRule="auto"/>
        <w:jc w:val="left"/>
      </w:pPr>
      <w:r>
        <w:br w:type="page"/>
      </w:r>
    </w:p>
    <w:p w14:paraId="5DD3A0BD" w14:textId="7AF424C6" w:rsidR="00BD1356" w:rsidRDefault="00BD1356" w:rsidP="00BD1356">
      <w:pPr>
        <w:pStyle w:val="Titre2"/>
      </w:pPr>
      <w:r>
        <w:lastRenderedPageBreak/>
        <w:t>CF02 : L'écran "Formation &gt; Calendrier &gt; Sessions de stage" n'affichera dorénavant plus la balise d'italique pour les sessions marquées "externes" [Mantis #8323]</w:t>
      </w:r>
    </w:p>
    <w:p w14:paraId="7C479C00" w14:textId="5ECCAFB5" w:rsidR="006677F5" w:rsidRDefault="006677F5" w:rsidP="006677F5">
      <w:r>
        <w:t>Avant la correction :</w:t>
      </w:r>
    </w:p>
    <w:p w14:paraId="298DF5FE" w14:textId="431E2575" w:rsidR="001F0250" w:rsidRDefault="001F0250" w:rsidP="006677F5">
      <w:r>
        <w:rPr>
          <w:noProof/>
        </w:rPr>
        <w:drawing>
          <wp:inline distT="0" distB="0" distL="0" distR="0" wp14:anchorId="768FCFE5" wp14:editId="0852A24E">
            <wp:extent cx="5760720" cy="1022350"/>
            <wp:effectExtent l="0" t="0" r="0" b="0"/>
            <wp:docPr id="3" name="Image 3"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nombre, lign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022350"/>
                    </a:xfrm>
                    <a:prstGeom prst="rect">
                      <a:avLst/>
                    </a:prstGeom>
                  </pic:spPr>
                </pic:pic>
              </a:graphicData>
            </a:graphic>
          </wp:inline>
        </w:drawing>
      </w:r>
    </w:p>
    <w:p w14:paraId="3C6DDADD" w14:textId="77777777" w:rsidR="00072CDD" w:rsidRDefault="00072CDD" w:rsidP="006677F5"/>
    <w:p w14:paraId="05566B95" w14:textId="50997706" w:rsidR="006677F5" w:rsidRDefault="006677F5" w:rsidP="006677F5">
      <w:r>
        <w:t>Après la correction :</w:t>
      </w:r>
    </w:p>
    <w:p w14:paraId="5BAB9509" w14:textId="750BE4AC" w:rsidR="006677F5" w:rsidRPr="006677F5" w:rsidRDefault="006677F5" w:rsidP="006677F5">
      <w:r>
        <w:rPr>
          <w:noProof/>
        </w:rPr>
        <w:drawing>
          <wp:inline distT="0" distB="0" distL="0" distR="0" wp14:anchorId="645097FD" wp14:editId="5387BE30">
            <wp:extent cx="5760720" cy="1653540"/>
            <wp:effectExtent l="0" t="0" r="0" b="0"/>
            <wp:docPr id="2" name="Image 2"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nombre, lign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1ACA65E7" w14:textId="02D98264" w:rsidR="00BD1356" w:rsidRDefault="00BD1356" w:rsidP="00BD1356">
      <w:pPr>
        <w:pStyle w:val="Titre2"/>
      </w:pPr>
      <w:r>
        <w:t>CF03 : Les blocs de contenus et publics concernés de l'écran "Formation &gt; Stages &gt; Détails des stages" devraient dorénavant pouvoir être réduit en cliquant sur le titre/chevron [Mantis #8321]</w:t>
      </w:r>
    </w:p>
    <w:p w14:paraId="3E135AAD" w14:textId="1F503BEE" w:rsidR="00784201" w:rsidRDefault="00784201" w:rsidP="00784201">
      <w:r>
        <w:rPr>
          <w:noProof/>
        </w:rPr>
        <w:drawing>
          <wp:inline distT="0" distB="0" distL="0" distR="0" wp14:anchorId="6417D301" wp14:editId="66424330">
            <wp:extent cx="5760720" cy="1353185"/>
            <wp:effectExtent l="0" t="0" r="0" b="0"/>
            <wp:docPr id="4" name="Image 4"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logiciel, capture d’écran,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353185"/>
                    </a:xfrm>
                    <a:prstGeom prst="rect">
                      <a:avLst/>
                    </a:prstGeom>
                  </pic:spPr>
                </pic:pic>
              </a:graphicData>
            </a:graphic>
          </wp:inline>
        </w:drawing>
      </w:r>
    </w:p>
    <w:p w14:paraId="7DF25460" w14:textId="549BD3D2" w:rsidR="00072CDD" w:rsidRDefault="00072CDD">
      <w:pPr>
        <w:spacing w:after="160" w:line="259" w:lineRule="auto"/>
        <w:jc w:val="left"/>
      </w:pPr>
      <w:r>
        <w:br w:type="page"/>
      </w:r>
    </w:p>
    <w:p w14:paraId="4FD0FB49" w14:textId="73DA5B8A" w:rsidR="00D80B27" w:rsidRDefault="00BD1356" w:rsidP="00BD1356">
      <w:pPr>
        <w:pStyle w:val="Titre2"/>
      </w:pPr>
      <w:r>
        <w:lastRenderedPageBreak/>
        <w:t>CF04 : L'entête de résultat sur l'écran "Formation &gt; Gestion des FMPA &gt; FMPA enregistrées" devraient être affichée aussi sur les pages supérieures à la première (2, 3, 4, ...), si pagination il y a [Mantis #8319]</w:t>
      </w:r>
    </w:p>
    <w:p w14:paraId="7E6089EC" w14:textId="1B89FD44" w:rsidR="00530699" w:rsidRDefault="00530699" w:rsidP="00530699">
      <w:r>
        <w:t>Avant la correction :</w:t>
      </w:r>
    </w:p>
    <w:p w14:paraId="522A7F52" w14:textId="67FE4655" w:rsidR="00305D3A" w:rsidRDefault="00305D3A" w:rsidP="00530699">
      <w:r>
        <w:rPr>
          <w:noProof/>
        </w:rPr>
        <w:drawing>
          <wp:inline distT="0" distB="0" distL="0" distR="0" wp14:anchorId="20DD20BE" wp14:editId="615B2828">
            <wp:extent cx="5760720" cy="1477010"/>
            <wp:effectExtent l="0" t="0" r="0" b="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477010"/>
                    </a:xfrm>
                    <a:prstGeom prst="rect">
                      <a:avLst/>
                    </a:prstGeom>
                  </pic:spPr>
                </pic:pic>
              </a:graphicData>
            </a:graphic>
          </wp:inline>
        </w:drawing>
      </w:r>
    </w:p>
    <w:p w14:paraId="3E75F553" w14:textId="77777777" w:rsidR="001B36FA" w:rsidRDefault="001B36FA" w:rsidP="00530699"/>
    <w:p w14:paraId="1D962A45" w14:textId="5819CCA1" w:rsidR="00530699" w:rsidRDefault="00530699" w:rsidP="00530699">
      <w:r>
        <w:t xml:space="preserve">Après la correction : </w:t>
      </w:r>
    </w:p>
    <w:p w14:paraId="07AB498B" w14:textId="5C43BC42" w:rsidR="00374867" w:rsidRDefault="00530699" w:rsidP="00530699">
      <w:r>
        <w:rPr>
          <w:noProof/>
        </w:rPr>
        <w:drawing>
          <wp:inline distT="0" distB="0" distL="0" distR="0" wp14:anchorId="7840646C" wp14:editId="3C30917B">
            <wp:extent cx="5760720" cy="1650365"/>
            <wp:effectExtent l="0" t="0" r="0" b="0"/>
            <wp:docPr id="5" name="Image 5" descr="Une image contenant texte, lign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igne, nombre, logiciel&#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650365"/>
                    </a:xfrm>
                    <a:prstGeom prst="rect">
                      <a:avLst/>
                    </a:prstGeom>
                  </pic:spPr>
                </pic:pic>
              </a:graphicData>
            </a:graphic>
          </wp:inline>
        </w:drawing>
      </w:r>
    </w:p>
    <w:p w14:paraId="2CB4B27A" w14:textId="4E51516F" w:rsidR="004A0BA2" w:rsidRDefault="004A0BA2">
      <w:pPr>
        <w:spacing w:after="160" w:line="259" w:lineRule="auto"/>
        <w:jc w:val="left"/>
        <w:rPr>
          <w:rFonts w:asciiTheme="majorHAnsi" w:eastAsiaTheme="majorEastAsia" w:hAnsiTheme="majorHAnsi" w:cstheme="majorBidi"/>
          <w:color w:val="2F5496" w:themeColor="accent1" w:themeShade="BF"/>
          <w:sz w:val="24"/>
          <w:szCs w:val="24"/>
        </w:rPr>
      </w:pPr>
    </w:p>
    <w:p w14:paraId="28A93B3A" w14:textId="31F8B140" w:rsidR="00147F91" w:rsidRDefault="00147F91" w:rsidP="00147F91">
      <w:pPr>
        <w:pStyle w:val="Titre2"/>
      </w:pPr>
      <w:r>
        <w:t>CF05 : Correction d'une anomalie potentielle lors du publipostage des documents sur les FMPA sur centre avec les balises "XXX_AGENT" et une base Oracle [Mantis #8408]</w:t>
      </w:r>
    </w:p>
    <w:p w14:paraId="3BBC32A9" w14:textId="7CB731F0" w:rsidR="00852228" w:rsidRDefault="00852228" w:rsidP="00852228">
      <w:r>
        <w:rPr>
          <w:noProof/>
        </w:rPr>
        <w:drawing>
          <wp:inline distT="0" distB="0" distL="0" distR="0" wp14:anchorId="1B03B7CE" wp14:editId="59002E33">
            <wp:extent cx="5760720" cy="1871345"/>
            <wp:effectExtent l="0" t="0" r="0" b="0"/>
            <wp:docPr id="26" name="Image 2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logiciel, Icône d’ordinateur, Page web&#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871345"/>
                    </a:xfrm>
                    <a:prstGeom prst="rect">
                      <a:avLst/>
                    </a:prstGeom>
                  </pic:spPr>
                </pic:pic>
              </a:graphicData>
            </a:graphic>
          </wp:inline>
        </w:drawing>
      </w:r>
    </w:p>
    <w:p w14:paraId="4D2F86E6" w14:textId="33571400" w:rsidR="001B36FA" w:rsidRDefault="001B36FA">
      <w:pPr>
        <w:spacing w:after="160" w:line="259" w:lineRule="auto"/>
        <w:jc w:val="left"/>
      </w:pPr>
      <w:r>
        <w:br w:type="page"/>
      </w:r>
    </w:p>
    <w:p w14:paraId="28201F1B" w14:textId="7662CC15" w:rsidR="00147F91" w:rsidRDefault="00147F91" w:rsidP="00147F91">
      <w:pPr>
        <w:pStyle w:val="Titre2"/>
      </w:pPr>
      <w:r>
        <w:lastRenderedPageBreak/>
        <w:t>CF06 : Correction d'une anomalie potentielle lors du publipostage des courriels relatifs aux candidats-formateurs avec une base Oracle [Mantis #6692]</w:t>
      </w:r>
    </w:p>
    <w:p w14:paraId="0003075B" w14:textId="0A04A18A" w:rsidR="005555C3" w:rsidRPr="005555C3" w:rsidRDefault="005555C3" w:rsidP="005555C3">
      <w:r>
        <w:rPr>
          <w:noProof/>
        </w:rPr>
        <w:drawing>
          <wp:inline distT="0" distB="0" distL="0" distR="0" wp14:anchorId="6EB5D0BF" wp14:editId="00FA1D22">
            <wp:extent cx="5760720" cy="1653540"/>
            <wp:effectExtent l="0" t="0" r="0" b="0"/>
            <wp:docPr id="27" name="Image 27"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logiciel,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05F1A58D" w14:textId="382A51A4" w:rsidR="0023152A" w:rsidRDefault="00374867" w:rsidP="0023152A">
      <w:pPr>
        <w:pStyle w:val="Titre1"/>
      </w:pPr>
      <w:r>
        <w:t>Administration</w:t>
      </w:r>
    </w:p>
    <w:p w14:paraId="1BAF5486" w14:textId="2C918209" w:rsidR="007D1EFF" w:rsidRDefault="00374867" w:rsidP="0098249C">
      <w:pPr>
        <w:pStyle w:val="Titre2"/>
      </w:pPr>
      <w:r>
        <w:t>CA01 : L'écran "GRH / Administration &gt; Grades &gt; Grades" ne devrait plus afficher le "code" de la filière [Mantis #8356]</w:t>
      </w:r>
    </w:p>
    <w:p w14:paraId="31F2F72E" w14:textId="15BD2EF7" w:rsidR="007D1EFF" w:rsidRDefault="007D1EFF" w:rsidP="007D1EFF">
      <w:r>
        <w:t>Avant la correction :</w:t>
      </w:r>
    </w:p>
    <w:p w14:paraId="6D76C8C8" w14:textId="4DB256E0" w:rsidR="007D1EFF" w:rsidRDefault="007D1EFF" w:rsidP="007D1EFF">
      <w:r>
        <w:rPr>
          <w:noProof/>
        </w:rPr>
        <w:drawing>
          <wp:inline distT="0" distB="0" distL="0" distR="0" wp14:anchorId="4DBB9BCD" wp14:editId="15B9F1AC">
            <wp:extent cx="5760720" cy="2505075"/>
            <wp:effectExtent l="0" t="0" r="0" b="0"/>
            <wp:docPr id="14" name="Image 1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logiciel, nombr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505075"/>
                    </a:xfrm>
                    <a:prstGeom prst="rect">
                      <a:avLst/>
                    </a:prstGeom>
                  </pic:spPr>
                </pic:pic>
              </a:graphicData>
            </a:graphic>
          </wp:inline>
        </w:drawing>
      </w:r>
    </w:p>
    <w:p w14:paraId="51F049D7" w14:textId="77777777" w:rsidR="007D1EFF" w:rsidRDefault="007D1EFF" w:rsidP="007D1EFF"/>
    <w:p w14:paraId="61398A54" w14:textId="24EDFAB8" w:rsidR="007D1EFF" w:rsidRDefault="007D1EFF" w:rsidP="007D1EFF">
      <w:r>
        <w:t>Après la correction :</w:t>
      </w:r>
    </w:p>
    <w:p w14:paraId="2F1E7330" w14:textId="6CAD567C" w:rsidR="007D1EFF" w:rsidRDefault="009C754D" w:rsidP="007D1EFF">
      <w:r>
        <w:rPr>
          <w:noProof/>
        </w:rPr>
        <w:drawing>
          <wp:inline distT="0" distB="0" distL="0" distR="0" wp14:anchorId="50DBB3EE" wp14:editId="62C50F6A">
            <wp:extent cx="2559132" cy="2008490"/>
            <wp:effectExtent l="0" t="0" r="0" b="0"/>
            <wp:docPr id="15" name="Image 1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logiciel, Icône d’ordinateur&#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564702" cy="2012861"/>
                    </a:xfrm>
                    <a:prstGeom prst="rect">
                      <a:avLst/>
                    </a:prstGeom>
                  </pic:spPr>
                </pic:pic>
              </a:graphicData>
            </a:graphic>
          </wp:inline>
        </w:drawing>
      </w:r>
    </w:p>
    <w:p w14:paraId="49F470C8" w14:textId="41977396" w:rsidR="001B36FA" w:rsidRDefault="001B36FA">
      <w:pPr>
        <w:spacing w:after="160" w:line="259" w:lineRule="auto"/>
        <w:jc w:val="left"/>
      </w:pPr>
      <w:r>
        <w:br w:type="page"/>
      </w:r>
    </w:p>
    <w:p w14:paraId="6018295A" w14:textId="0924FD2C" w:rsidR="0023152A" w:rsidRDefault="0023152A" w:rsidP="0023152A">
      <w:pPr>
        <w:pStyle w:val="Titre1"/>
      </w:pPr>
      <w:r>
        <w:lastRenderedPageBreak/>
        <w:t>Outils</w:t>
      </w:r>
    </w:p>
    <w:p w14:paraId="2CBCD9CF" w14:textId="0FD217C5" w:rsidR="0023152A" w:rsidRDefault="0023152A" w:rsidP="0023152A">
      <w:pPr>
        <w:pStyle w:val="Titre2"/>
      </w:pPr>
      <w:r>
        <w:t>CO01 : L'interface Sedit "Absence" tiendra dorénavant compte des "codeGenerique" en l'absence de "codeAbsence" [Mantis #7040]</w:t>
      </w:r>
    </w:p>
    <w:p w14:paraId="1B1795B8" w14:textId="13186B3A" w:rsidR="002C2F8E" w:rsidRPr="002C2F8E" w:rsidRDefault="002C2F8E" w:rsidP="002C2F8E">
      <w:r>
        <w:t>Point technique – Aucune illustration.</w:t>
      </w:r>
    </w:p>
    <w:p w14:paraId="4046822B" w14:textId="1A178865" w:rsidR="002D1274" w:rsidRDefault="002D1274" w:rsidP="002D1274">
      <w:pPr>
        <w:pStyle w:val="Titre2"/>
      </w:pPr>
      <w:r>
        <w:t>CO02 : Correction d'une anomalie potentielle lors de la génération des PDF dans le requêteur (contrôle de la sécurité "Requête LIF") [Mantis #8466]</w:t>
      </w:r>
    </w:p>
    <w:p w14:paraId="6F4D8FFE" w14:textId="4EED5BF2" w:rsidR="00C618FE" w:rsidRPr="002C2F8E" w:rsidRDefault="007B533A" w:rsidP="002C2F8E">
      <w:r w:rsidRPr="007B533A">
        <w:rPr>
          <w:noProof/>
        </w:rPr>
        <w:drawing>
          <wp:inline distT="0" distB="0" distL="0" distR="0" wp14:anchorId="02ED26B0" wp14:editId="3F117B83">
            <wp:extent cx="5760720" cy="1172845"/>
            <wp:effectExtent l="0" t="0" r="0" b="0"/>
            <wp:docPr id="29" name="Image 2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logiciel, Icône d’ordinateur&#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172845"/>
                    </a:xfrm>
                    <a:prstGeom prst="rect">
                      <a:avLst/>
                    </a:prstGeom>
                  </pic:spPr>
                </pic:pic>
              </a:graphicData>
            </a:graphic>
          </wp:inline>
        </w:drawing>
      </w:r>
    </w:p>
    <w:p w14:paraId="200A2C8B" w14:textId="508C6219" w:rsidR="00CC76C4" w:rsidRDefault="00CC76C4" w:rsidP="00CC76C4">
      <w:pPr>
        <w:pStyle w:val="Titre2"/>
      </w:pPr>
      <w:r>
        <w:t>CO03A : L'interface "Interrogation" CNFPT, qui met à jour les candidatures en fonction de leur état sur la plateforme IEL, devrait dorénavant inscrire une erreur avec l'état renvoyé par l'interface CNFPT lorsque cet état n'est pas dans le format attendu (entier) [Mantis #8463]</w:t>
      </w:r>
    </w:p>
    <w:p w14:paraId="3FF0745E" w14:textId="5D1F851B" w:rsidR="002C2F8E" w:rsidRPr="002C2F8E" w:rsidRDefault="002C2F8E" w:rsidP="002C2F8E">
      <w:r>
        <w:t>Point technique – Aucune illustration.</w:t>
      </w:r>
    </w:p>
    <w:p w14:paraId="14701F5A" w14:textId="1B5C08F7" w:rsidR="002C2F8E" w:rsidRDefault="00CC76C4" w:rsidP="002C2F8E">
      <w:pPr>
        <w:pStyle w:val="Titre2"/>
      </w:pPr>
      <w:r>
        <w:t>CO03B : Recompilation des classes de l'interface CNFPT pour mise en conformité avec la version 3.0 du CNFPT [Mantis #8463]</w:t>
      </w:r>
    </w:p>
    <w:p w14:paraId="46697888" w14:textId="66A6013B" w:rsidR="002C2F8E" w:rsidRPr="002C2F8E" w:rsidRDefault="002C2F8E" w:rsidP="002C2F8E">
      <w:r>
        <w:t>Point technique – Aucune illustration.</w:t>
      </w:r>
    </w:p>
    <w:p w14:paraId="7DF0D0F2" w14:textId="5199B124" w:rsidR="002D1274" w:rsidRDefault="00CC76C4" w:rsidP="00CC76C4">
      <w:pPr>
        <w:pStyle w:val="Titre2"/>
      </w:pPr>
      <w:r>
        <w:t>CO04 : La génération de courriels en masse sur certains serveurs très performants ne devrait plus causer de collision [Mantis #7294]</w:t>
      </w:r>
    </w:p>
    <w:p w14:paraId="6560753B" w14:textId="7D179DFD" w:rsidR="00F62A79" w:rsidRPr="00F62A79" w:rsidRDefault="00F62A79" w:rsidP="00F62A79">
      <w:r>
        <w:t xml:space="preserve">Point technique – </w:t>
      </w:r>
      <w:r w:rsidR="00FC4CBF">
        <w:t>Aucune illustration.</w:t>
      </w:r>
    </w:p>
    <w:sectPr w:rsidR="00F62A79" w:rsidRPr="00F62A79" w:rsidSect="00824313">
      <w:headerReference w:type="default" r:id="rId43"/>
      <w:footerReference w:type="default" r:id="rId44"/>
      <w:footerReference w:type="firs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AB23F" w14:textId="77777777" w:rsidR="00C407D7" w:rsidRDefault="00C407D7" w:rsidP="00824313">
      <w:r>
        <w:separator/>
      </w:r>
    </w:p>
  </w:endnote>
  <w:endnote w:type="continuationSeparator" w:id="0">
    <w:p w14:paraId="0F09150B" w14:textId="77777777" w:rsidR="00C407D7" w:rsidRDefault="00C407D7" w:rsidP="00824313">
      <w:r>
        <w:continuationSeparator/>
      </w:r>
    </w:p>
  </w:endnote>
  <w:endnote w:type="continuationNotice" w:id="1">
    <w:p w14:paraId="3F8F55B9" w14:textId="77777777" w:rsidR="00C407D7" w:rsidRDefault="00C40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720AA" w14:textId="77777777" w:rsidR="00C407D7" w:rsidRDefault="00C407D7" w:rsidP="00824313">
      <w:r>
        <w:separator/>
      </w:r>
    </w:p>
  </w:footnote>
  <w:footnote w:type="continuationSeparator" w:id="0">
    <w:p w14:paraId="5E98299E" w14:textId="77777777" w:rsidR="00C407D7" w:rsidRDefault="00C407D7" w:rsidP="00824313">
      <w:r>
        <w:continuationSeparator/>
      </w:r>
    </w:p>
  </w:footnote>
  <w:footnote w:type="continuationNotice" w:id="1">
    <w:p w14:paraId="17FC7C7F" w14:textId="77777777" w:rsidR="00C407D7" w:rsidRDefault="00C40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492C99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D22393">
      <w:rPr>
        <w:rStyle w:val="Accentuationlgre"/>
        <w:sz w:val="28"/>
        <w:szCs w:val="28"/>
      </w:rPr>
      <w:t>4</w:t>
    </w:r>
    <w:r w:rsidR="0064528D">
      <w:rPr>
        <w:rStyle w:val="Accentuationlgre"/>
        <w:sz w:val="28"/>
        <w:szCs w:val="28"/>
      </w:rPr>
      <w:t>.</w:t>
    </w:r>
    <w:r w:rsidR="003A7E87">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67EE"/>
    <w:rsid w:val="00027896"/>
    <w:rsid w:val="000300A0"/>
    <w:rsid w:val="00030540"/>
    <w:rsid w:val="00030C03"/>
    <w:rsid w:val="000313CA"/>
    <w:rsid w:val="00031A3B"/>
    <w:rsid w:val="00031F5B"/>
    <w:rsid w:val="00034213"/>
    <w:rsid w:val="000348CC"/>
    <w:rsid w:val="000351B2"/>
    <w:rsid w:val="00035478"/>
    <w:rsid w:val="00035AE2"/>
    <w:rsid w:val="00036362"/>
    <w:rsid w:val="00036584"/>
    <w:rsid w:val="00036789"/>
    <w:rsid w:val="000378EA"/>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243"/>
    <w:rsid w:val="00045789"/>
    <w:rsid w:val="00045C15"/>
    <w:rsid w:val="00045DFC"/>
    <w:rsid w:val="000463A6"/>
    <w:rsid w:val="00046754"/>
    <w:rsid w:val="0004708A"/>
    <w:rsid w:val="00050048"/>
    <w:rsid w:val="00051031"/>
    <w:rsid w:val="00051CF2"/>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2CDD"/>
    <w:rsid w:val="0007376E"/>
    <w:rsid w:val="000743A5"/>
    <w:rsid w:val="00074C87"/>
    <w:rsid w:val="000756FF"/>
    <w:rsid w:val="000757B7"/>
    <w:rsid w:val="00075995"/>
    <w:rsid w:val="0007644E"/>
    <w:rsid w:val="000772DC"/>
    <w:rsid w:val="00077635"/>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0D6"/>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843"/>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62ED"/>
    <w:rsid w:val="000F6BA5"/>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47F91"/>
    <w:rsid w:val="001507A4"/>
    <w:rsid w:val="00150DBF"/>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6FA"/>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50"/>
    <w:rsid w:val="001F02F6"/>
    <w:rsid w:val="001F0C17"/>
    <w:rsid w:val="001F0FE2"/>
    <w:rsid w:val="001F1330"/>
    <w:rsid w:val="001F1E5D"/>
    <w:rsid w:val="001F205B"/>
    <w:rsid w:val="001F2CF7"/>
    <w:rsid w:val="001F2DDC"/>
    <w:rsid w:val="001F3275"/>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6EB"/>
    <w:rsid w:val="00226726"/>
    <w:rsid w:val="002269D6"/>
    <w:rsid w:val="00226E2F"/>
    <w:rsid w:val="00227515"/>
    <w:rsid w:val="0022765E"/>
    <w:rsid w:val="0023010A"/>
    <w:rsid w:val="00230C3A"/>
    <w:rsid w:val="002311D8"/>
    <w:rsid w:val="0023152A"/>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097"/>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592"/>
    <w:rsid w:val="002779F6"/>
    <w:rsid w:val="00277C43"/>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2FDD"/>
    <w:rsid w:val="002832B4"/>
    <w:rsid w:val="00283709"/>
    <w:rsid w:val="00283A9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5D0"/>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2F8E"/>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274"/>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044"/>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5D3A"/>
    <w:rsid w:val="0030607B"/>
    <w:rsid w:val="00306389"/>
    <w:rsid w:val="003064AE"/>
    <w:rsid w:val="00306AB1"/>
    <w:rsid w:val="00306E93"/>
    <w:rsid w:val="00306F2A"/>
    <w:rsid w:val="003071B8"/>
    <w:rsid w:val="003077EA"/>
    <w:rsid w:val="003102F5"/>
    <w:rsid w:val="00310390"/>
    <w:rsid w:val="003104DD"/>
    <w:rsid w:val="0031076D"/>
    <w:rsid w:val="00310CEB"/>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3A8"/>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1A0"/>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4F7"/>
    <w:rsid w:val="00357FEF"/>
    <w:rsid w:val="003604F2"/>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867"/>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2B30"/>
    <w:rsid w:val="0038346F"/>
    <w:rsid w:val="0038376F"/>
    <w:rsid w:val="003837E6"/>
    <w:rsid w:val="00383ADF"/>
    <w:rsid w:val="00383E06"/>
    <w:rsid w:val="00384269"/>
    <w:rsid w:val="00384511"/>
    <w:rsid w:val="003846E7"/>
    <w:rsid w:val="00384B5D"/>
    <w:rsid w:val="0038516A"/>
    <w:rsid w:val="00385556"/>
    <w:rsid w:val="00385907"/>
    <w:rsid w:val="00385A29"/>
    <w:rsid w:val="00386450"/>
    <w:rsid w:val="003865A0"/>
    <w:rsid w:val="0038695F"/>
    <w:rsid w:val="00386ECE"/>
    <w:rsid w:val="003874DB"/>
    <w:rsid w:val="00387764"/>
    <w:rsid w:val="00387BBA"/>
    <w:rsid w:val="00387CCE"/>
    <w:rsid w:val="00387DCC"/>
    <w:rsid w:val="00390266"/>
    <w:rsid w:val="00390C7D"/>
    <w:rsid w:val="00390D1E"/>
    <w:rsid w:val="0039145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14"/>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49A"/>
    <w:rsid w:val="004025F0"/>
    <w:rsid w:val="004033FA"/>
    <w:rsid w:val="00403447"/>
    <w:rsid w:val="00403772"/>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610"/>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6F36"/>
    <w:rsid w:val="0044750A"/>
    <w:rsid w:val="0044768E"/>
    <w:rsid w:val="00450272"/>
    <w:rsid w:val="004502A6"/>
    <w:rsid w:val="00450770"/>
    <w:rsid w:val="004507FF"/>
    <w:rsid w:val="00450F2F"/>
    <w:rsid w:val="00451204"/>
    <w:rsid w:val="004516DB"/>
    <w:rsid w:val="0045171E"/>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77C04"/>
    <w:rsid w:val="004803B1"/>
    <w:rsid w:val="00480479"/>
    <w:rsid w:val="00480A7F"/>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882"/>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0BA2"/>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641"/>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2D6"/>
    <w:rsid w:val="004C6515"/>
    <w:rsid w:val="004C6CE9"/>
    <w:rsid w:val="004C6F68"/>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0DEC"/>
    <w:rsid w:val="004E1343"/>
    <w:rsid w:val="004E1E40"/>
    <w:rsid w:val="004E1EB8"/>
    <w:rsid w:val="004E2041"/>
    <w:rsid w:val="004E2791"/>
    <w:rsid w:val="004E2936"/>
    <w:rsid w:val="004E3DC9"/>
    <w:rsid w:val="004E4309"/>
    <w:rsid w:val="004E488F"/>
    <w:rsid w:val="004E4D16"/>
    <w:rsid w:val="004E5B65"/>
    <w:rsid w:val="004E605E"/>
    <w:rsid w:val="004E6409"/>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043"/>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07D"/>
    <w:rsid w:val="005251AB"/>
    <w:rsid w:val="005252DF"/>
    <w:rsid w:val="00525506"/>
    <w:rsid w:val="005257B2"/>
    <w:rsid w:val="0052598A"/>
    <w:rsid w:val="00526853"/>
    <w:rsid w:val="005269E7"/>
    <w:rsid w:val="00526D2C"/>
    <w:rsid w:val="0052739E"/>
    <w:rsid w:val="00527719"/>
    <w:rsid w:val="0053069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5C3"/>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A80"/>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87DD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06"/>
    <w:rsid w:val="005C32F2"/>
    <w:rsid w:val="005C35E2"/>
    <w:rsid w:val="005C35E6"/>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9F1"/>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0EF"/>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6DED"/>
    <w:rsid w:val="006176CE"/>
    <w:rsid w:val="00620015"/>
    <w:rsid w:val="006215F0"/>
    <w:rsid w:val="0062162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5DB"/>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A43"/>
    <w:rsid w:val="00657B6F"/>
    <w:rsid w:val="006603C9"/>
    <w:rsid w:val="00660A7B"/>
    <w:rsid w:val="00660BE9"/>
    <w:rsid w:val="00660BF9"/>
    <w:rsid w:val="0066184C"/>
    <w:rsid w:val="00661D59"/>
    <w:rsid w:val="0066256C"/>
    <w:rsid w:val="00662846"/>
    <w:rsid w:val="00662A54"/>
    <w:rsid w:val="00662CD9"/>
    <w:rsid w:val="0066304E"/>
    <w:rsid w:val="0066368B"/>
    <w:rsid w:val="006636FD"/>
    <w:rsid w:val="00663C15"/>
    <w:rsid w:val="0066453B"/>
    <w:rsid w:val="0066464A"/>
    <w:rsid w:val="00664F8A"/>
    <w:rsid w:val="006656CA"/>
    <w:rsid w:val="00665A25"/>
    <w:rsid w:val="00666CA8"/>
    <w:rsid w:val="00666D41"/>
    <w:rsid w:val="006677F5"/>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121"/>
    <w:rsid w:val="006812B6"/>
    <w:rsid w:val="00681A97"/>
    <w:rsid w:val="0068265C"/>
    <w:rsid w:val="00682F68"/>
    <w:rsid w:val="0068337D"/>
    <w:rsid w:val="006839E7"/>
    <w:rsid w:val="00684805"/>
    <w:rsid w:val="00684B86"/>
    <w:rsid w:val="006857D7"/>
    <w:rsid w:val="006857FD"/>
    <w:rsid w:val="00685C89"/>
    <w:rsid w:val="00685D0D"/>
    <w:rsid w:val="0068609D"/>
    <w:rsid w:val="00686F64"/>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B4E"/>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4CB"/>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1E3"/>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2A18"/>
    <w:rsid w:val="00703133"/>
    <w:rsid w:val="0070331C"/>
    <w:rsid w:val="0070422F"/>
    <w:rsid w:val="00704607"/>
    <w:rsid w:val="00704C27"/>
    <w:rsid w:val="00704DFD"/>
    <w:rsid w:val="007057DF"/>
    <w:rsid w:val="00705E9F"/>
    <w:rsid w:val="00705FBC"/>
    <w:rsid w:val="007061AF"/>
    <w:rsid w:val="00707218"/>
    <w:rsid w:val="00707549"/>
    <w:rsid w:val="00707FB3"/>
    <w:rsid w:val="0071086C"/>
    <w:rsid w:val="007108CF"/>
    <w:rsid w:val="00710A1A"/>
    <w:rsid w:val="00710C32"/>
    <w:rsid w:val="00710D8C"/>
    <w:rsid w:val="007111D4"/>
    <w:rsid w:val="00711492"/>
    <w:rsid w:val="00711626"/>
    <w:rsid w:val="00711645"/>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413"/>
    <w:rsid w:val="007307D5"/>
    <w:rsid w:val="00731378"/>
    <w:rsid w:val="00732ACC"/>
    <w:rsid w:val="00733432"/>
    <w:rsid w:val="00733594"/>
    <w:rsid w:val="0073447A"/>
    <w:rsid w:val="00734649"/>
    <w:rsid w:val="00734876"/>
    <w:rsid w:val="00734D29"/>
    <w:rsid w:val="007352EA"/>
    <w:rsid w:val="007354F7"/>
    <w:rsid w:val="00735DA7"/>
    <w:rsid w:val="00735FA5"/>
    <w:rsid w:val="00736E31"/>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3454"/>
    <w:rsid w:val="00754045"/>
    <w:rsid w:val="007541FC"/>
    <w:rsid w:val="007544B2"/>
    <w:rsid w:val="007544E3"/>
    <w:rsid w:val="007546BD"/>
    <w:rsid w:val="00754762"/>
    <w:rsid w:val="0075478D"/>
    <w:rsid w:val="00754EAD"/>
    <w:rsid w:val="00755C8F"/>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7EC"/>
    <w:rsid w:val="00771B0E"/>
    <w:rsid w:val="00771E5C"/>
    <w:rsid w:val="0077241E"/>
    <w:rsid w:val="007727C6"/>
    <w:rsid w:val="0077304A"/>
    <w:rsid w:val="007731FF"/>
    <w:rsid w:val="00773385"/>
    <w:rsid w:val="007734B1"/>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4201"/>
    <w:rsid w:val="0078506A"/>
    <w:rsid w:val="00785489"/>
    <w:rsid w:val="00785625"/>
    <w:rsid w:val="00785932"/>
    <w:rsid w:val="00785E31"/>
    <w:rsid w:val="00785E60"/>
    <w:rsid w:val="0078630A"/>
    <w:rsid w:val="007867B8"/>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4A6"/>
    <w:rsid w:val="00797A96"/>
    <w:rsid w:val="00797C92"/>
    <w:rsid w:val="007A0EE8"/>
    <w:rsid w:val="007A1281"/>
    <w:rsid w:val="007A14DC"/>
    <w:rsid w:val="007A15A6"/>
    <w:rsid w:val="007A1C7C"/>
    <w:rsid w:val="007A1E79"/>
    <w:rsid w:val="007A2115"/>
    <w:rsid w:val="007A22E2"/>
    <w:rsid w:val="007A26B2"/>
    <w:rsid w:val="007A2A9D"/>
    <w:rsid w:val="007A2FF9"/>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3A"/>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EFF"/>
    <w:rsid w:val="007D1FBA"/>
    <w:rsid w:val="007D2283"/>
    <w:rsid w:val="007D24BC"/>
    <w:rsid w:val="007D29BA"/>
    <w:rsid w:val="007D2CC6"/>
    <w:rsid w:val="007D2D24"/>
    <w:rsid w:val="007D32E0"/>
    <w:rsid w:val="007D381C"/>
    <w:rsid w:val="007D4985"/>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6A2A"/>
    <w:rsid w:val="007F7065"/>
    <w:rsid w:val="007F74A8"/>
    <w:rsid w:val="007F77B1"/>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0D1"/>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4695"/>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3A5"/>
    <w:rsid w:val="0083087A"/>
    <w:rsid w:val="008309BD"/>
    <w:rsid w:val="00830D9E"/>
    <w:rsid w:val="00831484"/>
    <w:rsid w:val="00831919"/>
    <w:rsid w:val="00831F0D"/>
    <w:rsid w:val="008325F9"/>
    <w:rsid w:val="0083315A"/>
    <w:rsid w:val="00833278"/>
    <w:rsid w:val="00834311"/>
    <w:rsid w:val="008348FA"/>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2228"/>
    <w:rsid w:val="008526C4"/>
    <w:rsid w:val="008532B3"/>
    <w:rsid w:val="008532CF"/>
    <w:rsid w:val="00853855"/>
    <w:rsid w:val="0085515E"/>
    <w:rsid w:val="00855314"/>
    <w:rsid w:val="008558AD"/>
    <w:rsid w:val="00856333"/>
    <w:rsid w:val="0085653C"/>
    <w:rsid w:val="008567AD"/>
    <w:rsid w:val="008576D1"/>
    <w:rsid w:val="00857C6B"/>
    <w:rsid w:val="00857D38"/>
    <w:rsid w:val="00857FD5"/>
    <w:rsid w:val="00860252"/>
    <w:rsid w:val="00860BE2"/>
    <w:rsid w:val="00860C7E"/>
    <w:rsid w:val="008616A1"/>
    <w:rsid w:val="008616DF"/>
    <w:rsid w:val="00861BC5"/>
    <w:rsid w:val="00862A5C"/>
    <w:rsid w:val="00862F62"/>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0A8D"/>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503"/>
    <w:rsid w:val="008D16D8"/>
    <w:rsid w:val="008D18CB"/>
    <w:rsid w:val="008D2007"/>
    <w:rsid w:val="008D2DF6"/>
    <w:rsid w:val="008D34A8"/>
    <w:rsid w:val="008D3DF1"/>
    <w:rsid w:val="008D43E4"/>
    <w:rsid w:val="008D513B"/>
    <w:rsid w:val="008D526B"/>
    <w:rsid w:val="008D536E"/>
    <w:rsid w:val="008D54C7"/>
    <w:rsid w:val="008D6535"/>
    <w:rsid w:val="008D660F"/>
    <w:rsid w:val="008D6C66"/>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445"/>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6FB"/>
    <w:rsid w:val="00910C15"/>
    <w:rsid w:val="00910CB8"/>
    <w:rsid w:val="009117CF"/>
    <w:rsid w:val="009124E5"/>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3D45"/>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381"/>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3B3"/>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49C"/>
    <w:rsid w:val="009826FC"/>
    <w:rsid w:val="00982713"/>
    <w:rsid w:val="00982B2F"/>
    <w:rsid w:val="0098326A"/>
    <w:rsid w:val="009832E0"/>
    <w:rsid w:val="00983568"/>
    <w:rsid w:val="009836AB"/>
    <w:rsid w:val="00983951"/>
    <w:rsid w:val="00983F3D"/>
    <w:rsid w:val="00984121"/>
    <w:rsid w:val="00984A22"/>
    <w:rsid w:val="0098562B"/>
    <w:rsid w:val="0098646F"/>
    <w:rsid w:val="009865B6"/>
    <w:rsid w:val="00986A94"/>
    <w:rsid w:val="00986E7C"/>
    <w:rsid w:val="00987EC9"/>
    <w:rsid w:val="0099094F"/>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AA8"/>
    <w:rsid w:val="009C4F52"/>
    <w:rsid w:val="009C55A3"/>
    <w:rsid w:val="009C57BD"/>
    <w:rsid w:val="009C636C"/>
    <w:rsid w:val="009C6CBA"/>
    <w:rsid w:val="009C6DAB"/>
    <w:rsid w:val="009C6E83"/>
    <w:rsid w:val="009C7217"/>
    <w:rsid w:val="009C72BE"/>
    <w:rsid w:val="009C7403"/>
    <w:rsid w:val="009C754D"/>
    <w:rsid w:val="009C7573"/>
    <w:rsid w:val="009C7830"/>
    <w:rsid w:val="009C78EB"/>
    <w:rsid w:val="009C798E"/>
    <w:rsid w:val="009D018D"/>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7D7"/>
    <w:rsid w:val="00A11800"/>
    <w:rsid w:val="00A118CF"/>
    <w:rsid w:val="00A11B72"/>
    <w:rsid w:val="00A120D9"/>
    <w:rsid w:val="00A122A5"/>
    <w:rsid w:val="00A1233D"/>
    <w:rsid w:val="00A1312E"/>
    <w:rsid w:val="00A1322F"/>
    <w:rsid w:val="00A132F9"/>
    <w:rsid w:val="00A141DF"/>
    <w:rsid w:val="00A1435C"/>
    <w:rsid w:val="00A14D21"/>
    <w:rsid w:val="00A152CF"/>
    <w:rsid w:val="00A157D0"/>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E98"/>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266"/>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1BB"/>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29F"/>
    <w:rsid w:val="00A90988"/>
    <w:rsid w:val="00A909F7"/>
    <w:rsid w:val="00A90DCA"/>
    <w:rsid w:val="00A91143"/>
    <w:rsid w:val="00A916B6"/>
    <w:rsid w:val="00A9185D"/>
    <w:rsid w:val="00A919E4"/>
    <w:rsid w:val="00A91B99"/>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4F51"/>
    <w:rsid w:val="00AA5547"/>
    <w:rsid w:val="00AA5876"/>
    <w:rsid w:val="00AA6782"/>
    <w:rsid w:val="00AA68ED"/>
    <w:rsid w:val="00AA6DC9"/>
    <w:rsid w:val="00AA6E60"/>
    <w:rsid w:val="00AA76F3"/>
    <w:rsid w:val="00AA778E"/>
    <w:rsid w:val="00AB0257"/>
    <w:rsid w:val="00AB13E5"/>
    <w:rsid w:val="00AB1431"/>
    <w:rsid w:val="00AB1AEC"/>
    <w:rsid w:val="00AB2307"/>
    <w:rsid w:val="00AB24EC"/>
    <w:rsid w:val="00AB2E4F"/>
    <w:rsid w:val="00AB3302"/>
    <w:rsid w:val="00AB362E"/>
    <w:rsid w:val="00AB3D0F"/>
    <w:rsid w:val="00AB3E34"/>
    <w:rsid w:val="00AB3F72"/>
    <w:rsid w:val="00AB41EE"/>
    <w:rsid w:val="00AB45C7"/>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7C"/>
    <w:rsid w:val="00AC14DC"/>
    <w:rsid w:val="00AC1859"/>
    <w:rsid w:val="00AC18A6"/>
    <w:rsid w:val="00AC1AF2"/>
    <w:rsid w:val="00AC1B2D"/>
    <w:rsid w:val="00AC1E03"/>
    <w:rsid w:val="00AC225E"/>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863"/>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DFC"/>
    <w:rsid w:val="00B00120"/>
    <w:rsid w:val="00B009B1"/>
    <w:rsid w:val="00B00AC9"/>
    <w:rsid w:val="00B00BB4"/>
    <w:rsid w:val="00B00BF2"/>
    <w:rsid w:val="00B00E64"/>
    <w:rsid w:val="00B01437"/>
    <w:rsid w:val="00B01D4F"/>
    <w:rsid w:val="00B01E7F"/>
    <w:rsid w:val="00B02125"/>
    <w:rsid w:val="00B0220E"/>
    <w:rsid w:val="00B028D4"/>
    <w:rsid w:val="00B02F9F"/>
    <w:rsid w:val="00B047B2"/>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43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AC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C7A"/>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7B9"/>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B8A"/>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3902"/>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9A7"/>
    <w:rsid w:val="00BC7A63"/>
    <w:rsid w:val="00BC7EBD"/>
    <w:rsid w:val="00BD0068"/>
    <w:rsid w:val="00BD0126"/>
    <w:rsid w:val="00BD0912"/>
    <w:rsid w:val="00BD0A72"/>
    <w:rsid w:val="00BD0C65"/>
    <w:rsid w:val="00BD12A6"/>
    <w:rsid w:val="00BD1356"/>
    <w:rsid w:val="00BD180F"/>
    <w:rsid w:val="00BD1FDC"/>
    <w:rsid w:val="00BD22AF"/>
    <w:rsid w:val="00BD25B8"/>
    <w:rsid w:val="00BD3105"/>
    <w:rsid w:val="00BD3D13"/>
    <w:rsid w:val="00BD41D7"/>
    <w:rsid w:val="00BD4603"/>
    <w:rsid w:val="00BD4A43"/>
    <w:rsid w:val="00BD4B2D"/>
    <w:rsid w:val="00BD5507"/>
    <w:rsid w:val="00BD6DF6"/>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26D"/>
    <w:rsid w:val="00BE569C"/>
    <w:rsid w:val="00BE5FC5"/>
    <w:rsid w:val="00BE6205"/>
    <w:rsid w:val="00BE6323"/>
    <w:rsid w:val="00BE63B1"/>
    <w:rsid w:val="00BE6B2D"/>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E54"/>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22E"/>
    <w:rsid w:val="00C347B8"/>
    <w:rsid w:val="00C3481D"/>
    <w:rsid w:val="00C348C3"/>
    <w:rsid w:val="00C34BA3"/>
    <w:rsid w:val="00C3503F"/>
    <w:rsid w:val="00C35403"/>
    <w:rsid w:val="00C35C25"/>
    <w:rsid w:val="00C36442"/>
    <w:rsid w:val="00C36813"/>
    <w:rsid w:val="00C36CA4"/>
    <w:rsid w:val="00C370C1"/>
    <w:rsid w:val="00C37B29"/>
    <w:rsid w:val="00C37BCC"/>
    <w:rsid w:val="00C37F92"/>
    <w:rsid w:val="00C37FC0"/>
    <w:rsid w:val="00C407D7"/>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C70"/>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5B"/>
    <w:rsid w:val="00C607FD"/>
    <w:rsid w:val="00C6087E"/>
    <w:rsid w:val="00C60A56"/>
    <w:rsid w:val="00C618FE"/>
    <w:rsid w:val="00C61B2B"/>
    <w:rsid w:val="00C62622"/>
    <w:rsid w:val="00C630E3"/>
    <w:rsid w:val="00C639FF"/>
    <w:rsid w:val="00C63C8D"/>
    <w:rsid w:val="00C646D7"/>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49"/>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C6"/>
    <w:rsid w:val="00CA13DD"/>
    <w:rsid w:val="00CA2D6E"/>
    <w:rsid w:val="00CA36C0"/>
    <w:rsid w:val="00CA4258"/>
    <w:rsid w:val="00CA4310"/>
    <w:rsid w:val="00CA43F5"/>
    <w:rsid w:val="00CA5025"/>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6C4"/>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6F6"/>
    <w:rsid w:val="00CF68B3"/>
    <w:rsid w:val="00CF6AE5"/>
    <w:rsid w:val="00CF6BC2"/>
    <w:rsid w:val="00CF6D68"/>
    <w:rsid w:val="00CF7A8E"/>
    <w:rsid w:val="00D00602"/>
    <w:rsid w:val="00D00F8C"/>
    <w:rsid w:val="00D01AAE"/>
    <w:rsid w:val="00D01BC4"/>
    <w:rsid w:val="00D02662"/>
    <w:rsid w:val="00D02BEB"/>
    <w:rsid w:val="00D02BF1"/>
    <w:rsid w:val="00D02EC5"/>
    <w:rsid w:val="00D02F4E"/>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1C8"/>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393"/>
    <w:rsid w:val="00D22401"/>
    <w:rsid w:val="00D22453"/>
    <w:rsid w:val="00D226BF"/>
    <w:rsid w:val="00D22F74"/>
    <w:rsid w:val="00D23B2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240E"/>
    <w:rsid w:val="00D43082"/>
    <w:rsid w:val="00D43C9B"/>
    <w:rsid w:val="00D4487E"/>
    <w:rsid w:val="00D45A4E"/>
    <w:rsid w:val="00D45F04"/>
    <w:rsid w:val="00D45F72"/>
    <w:rsid w:val="00D4613F"/>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9B9"/>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B27"/>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0746"/>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47B"/>
    <w:rsid w:val="00DA57C3"/>
    <w:rsid w:val="00DA5836"/>
    <w:rsid w:val="00DA5943"/>
    <w:rsid w:val="00DA5A1C"/>
    <w:rsid w:val="00DA5CB3"/>
    <w:rsid w:val="00DA6549"/>
    <w:rsid w:val="00DA673F"/>
    <w:rsid w:val="00DA6920"/>
    <w:rsid w:val="00DA74A6"/>
    <w:rsid w:val="00DB0499"/>
    <w:rsid w:val="00DB0BB3"/>
    <w:rsid w:val="00DB0DA8"/>
    <w:rsid w:val="00DB0DD8"/>
    <w:rsid w:val="00DB0F13"/>
    <w:rsid w:val="00DB1268"/>
    <w:rsid w:val="00DB1E57"/>
    <w:rsid w:val="00DB1F77"/>
    <w:rsid w:val="00DB2057"/>
    <w:rsid w:val="00DB27A7"/>
    <w:rsid w:val="00DB30AF"/>
    <w:rsid w:val="00DB33C4"/>
    <w:rsid w:val="00DB3C7B"/>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3FF5"/>
    <w:rsid w:val="00DC438D"/>
    <w:rsid w:val="00DC4728"/>
    <w:rsid w:val="00DC4B28"/>
    <w:rsid w:val="00DC4D2E"/>
    <w:rsid w:val="00DC4D6D"/>
    <w:rsid w:val="00DC4FBB"/>
    <w:rsid w:val="00DC5887"/>
    <w:rsid w:val="00DC5FE6"/>
    <w:rsid w:val="00DC6020"/>
    <w:rsid w:val="00DC61F0"/>
    <w:rsid w:val="00DC65DD"/>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D74"/>
    <w:rsid w:val="00E02EEC"/>
    <w:rsid w:val="00E033A3"/>
    <w:rsid w:val="00E03859"/>
    <w:rsid w:val="00E03A28"/>
    <w:rsid w:val="00E03C0D"/>
    <w:rsid w:val="00E04081"/>
    <w:rsid w:val="00E0422E"/>
    <w:rsid w:val="00E04A04"/>
    <w:rsid w:val="00E05385"/>
    <w:rsid w:val="00E05E33"/>
    <w:rsid w:val="00E0631C"/>
    <w:rsid w:val="00E0635D"/>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53A"/>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C11"/>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0B84"/>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9C7"/>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0423"/>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62AE"/>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304"/>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48E9"/>
    <w:rsid w:val="00EB5075"/>
    <w:rsid w:val="00EB550C"/>
    <w:rsid w:val="00EB5824"/>
    <w:rsid w:val="00EB59B4"/>
    <w:rsid w:val="00EB5BB1"/>
    <w:rsid w:val="00EB6165"/>
    <w:rsid w:val="00EB6BA5"/>
    <w:rsid w:val="00EB709C"/>
    <w:rsid w:val="00EB77C2"/>
    <w:rsid w:val="00EC09C9"/>
    <w:rsid w:val="00EC0BA6"/>
    <w:rsid w:val="00EC0D64"/>
    <w:rsid w:val="00EC0DB3"/>
    <w:rsid w:val="00EC0E8A"/>
    <w:rsid w:val="00EC1911"/>
    <w:rsid w:val="00EC1A1A"/>
    <w:rsid w:val="00EC1BA1"/>
    <w:rsid w:val="00EC1CC1"/>
    <w:rsid w:val="00EC1E8F"/>
    <w:rsid w:val="00EC1F64"/>
    <w:rsid w:val="00EC209E"/>
    <w:rsid w:val="00EC4381"/>
    <w:rsid w:val="00EC461E"/>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D59"/>
    <w:rsid w:val="00EF1FD2"/>
    <w:rsid w:val="00EF214F"/>
    <w:rsid w:val="00EF21FD"/>
    <w:rsid w:val="00EF277C"/>
    <w:rsid w:val="00EF2B15"/>
    <w:rsid w:val="00EF2B9B"/>
    <w:rsid w:val="00EF2C0D"/>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17BC"/>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5DD"/>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1D63"/>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0E6D"/>
    <w:rsid w:val="00F6159A"/>
    <w:rsid w:val="00F61D85"/>
    <w:rsid w:val="00F61F8C"/>
    <w:rsid w:val="00F6217E"/>
    <w:rsid w:val="00F62628"/>
    <w:rsid w:val="00F62935"/>
    <w:rsid w:val="00F62A79"/>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20F"/>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334"/>
    <w:rsid w:val="00FA3562"/>
    <w:rsid w:val="00FA396A"/>
    <w:rsid w:val="00FA424F"/>
    <w:rsid w:val="00FA4316"/>
    <w:rsid w:val="00FA4959"/>
    <w:rsid w:val="00FA5632"/>
    <w:rsid w:val="00FA58EC"/>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70AE"/>
    <w:rsid w:val="00FB7C90"/>
    <w:rsid w:val="00FC027C"/>
    <w:rsid w:val="00FC061B"/>
    <w:rsid w:val="00FC0954"/>
    <w:rsid w:val="00FC11D1"/>
    <w:rsid w:val="00FC16D0"/>
    <w:rsid w:val="00FC1865"/>
    <w:rsid w:val="00FC29D1"/>
    <w:rsid w:val="00FC2C83"/>
    <w:rsid w:val="00FC3B87"/>
    <w:rsid w:val="00FC3D2D"/>
    <w:rsid w:val="00FC41D0"/>
    <w:rsid w:val="00FC4B32"/>
    <w:rsid w:val="00FC4CBF"/>
    <w:rsid w:val="00FC521C"/>
    <w:rsid w:val="00FC55DE"/>
    <w:rsid w:val="00FC5743"/>
    <w:rsid w:val="00FC583B"/>
    <w:rsid w:val="00FC608E"/>
    <w:rsid w:val="00FC64B9"/>
    <w:rsid w:val="00FC673D"/>
    <w:rsid w:val="00FC6C70"/>
    <w:rsid w:val="00FC7083"/>
    <w:rsid w:val="00FC7A35"/>
    <w:rsid w:val="00FC7FD6"/>
    <w:rsid w:val="00FD0308"/>
    <w:rsid w:val="00FD033A"/>
    <w:rsid w:val="00FD1060"/>
    <w:rsid w:val="00FD1169"/>
    <w:rsid w:val="00FD12C0"/>
    <w:rsid w:val="00FD1729"/>
    <w:rsid w:val="00FD18BB"/>
    <w:rsid w:val="00FD1A39"/>
    <w:rsid w:val="00FD1B9D"/>
    <w:rsid w:val="00FD1F7F"/>
    <w:rsid w:val="00FD2882"/>
    <w:rsid w:val="00FD2938"/>
    <w:rsid w:val="00FD2B01"/>
    <w:rsid w:val="00FD2C7F"/>
    <w:rsid w:val="00FD2C9E"/>
    <w:rsid w:val="00FD3592"/>
    <w:rsid w:val="00FD3703"/>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45D1"/>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docId w15:val="{E0F24B66-FC32-473D-88B6-620633B6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customXml/itemProps4.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444</TotalTime>
  <Pages>12</Pages>
  <Words>915</Words>
  <Characters>5036</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68</cp:revision>
  <dcterms:created xsi:type="dcterms:W3CDTF">2023-05-15T23:47:00Z</dcterms:created>
  <dcterms:modified xsi:type="dcterms:W3CDTF">2025-11-28T07:44:00Z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