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266A" w14:textId="7C85A378" w:rsidR="00824313" w:rsidRPr="00CA5788" w:rsidRDefault="00234BAE" w:rsidP="00824313">
      <w:r>
        <w:t>Octobre 2026</w:t>
      </w:r>
      <w:r w:rsidR="00E812D1"/>
      <w:r w:rsidR="00D271BC"/>
      <w:r w:rsidR="007C63D1"/>
    </w:p>
    <w:p w14:paraId="253A98CF" w14:textId="77777777" w:rsidR="00824313" w:rsidRPr="00CA5788" w:rsidRDefault="00824313" w:rsidP="00824313"/>
    <w:p w14:paraId="3D62D7BD" w14:textId="20560C53" w:rsidR="00824313" w:rsidRPr="00CA5788" w:rsidRDefault="00824313" w:rsidP="00824313"/>
    <w:p w14:paraId="75D4B8BF" w14:textId="77777777" w:rsidR="00824313" w:rsidRPr="00CA5788" w:rsidRDefault="00824313" w:rsidP="00824313">
      <w:pPr>
        <w:jc w:val="center"/>
      </w:pPr>
    </w:p>
    <w:p w14:paraId="7CC05BDD" w14:textId="77777777" w:rsidR="00824313" w:rsidRPr="00CA5788" w:rsidRDefault="00824313" w:rsidP="00824313">
      <w:pPr>
        <w:jc w:val="center"/>
      </w:pPr>
    </w:p>
    <w:p w14:paraId="57F5A8F7" w14:textId="77777777" w:rsidR="009E1F70" w:rsidRPr="00CA5788" w:rsidRDefault="009E1F70" w:rsidP="004A3145"/>
    <w:p w14:paraId="27666DE1" w14:textId="665EA160" w:rsidR="00824313" w:rsidRDefault="00824313" w:rsidP="00824313"/>
    <w:p w14:paraId="4C47F8D9" w14:textId="77777777" w:rsidR="00311CD2" w:rsidRDefault="00311CD2" w:rsidP="00311CD2"/>
    <w:p w14:paraId="45D34EC9" w14:textId="77777777" w:rsidR="00311CD2" w:rsidRDefault="00311CD2" w:rsidP="00311CD2"/>
    <w:p w14:paraId="5F51D6E7" w14:textId="77777777" w:rsidR="00311CD2" w:rsidRPr="00311CD2" w:rsidRDefault="00311CD2" w:rsidP="00311CD2"/>
    <w:p w14:paraId="1F921753" w14:textId="77777777" w:rsidR="00824313" w:rsidRPr="00CA5788" w:rsidRDefault="00824313" w:rsidP="00824313"/>
    <w:p w14:paraId="429582AD" w14:textId="77777777" w:rsidR="00824313" w:rsidRPr="00CA5788" w:rsidRDefault="00824313" w:rsidP="00824313"/>
    <w:p w14:paraId="773C73EF" w14:textId="77777777" w:rsidR="00EF11F6" w:rsidRDefault="00EF11F6" w:rsidP="00EF11F6">
      <w:pPr>
        <w:pStyle w:val="Titre"/>
        <w:rPr>
          <w:sz w:val="56"/>
          <w:szCs w:val="56"/>
        </w:rPr>
      </w:pPr>
      <w:r>
        <w:rPr>
          <w:noProof/>
        </w:rPr>
        <w:drawing>
          <wp:anchor distT="0" distB="0" distL="114300" distR="114300" simplePos="0" relativeHeight="251658241" behindDoc="0" locked="0" layoutInCell="1" allowOverlap="1" wp14:anchorId="5C30C57B" wp14:editId="5614F6AB">
            <wp:simplePos x="0" y="0"/>
            <wp:positionH relativeFrom="column">
              <wp:posOffset>3545205</wp:posOffset>
            </wp:positionH>
            <wp:positionV relativeFrom="paragraph">
              <wp:posOffset>323215</wp:posOffset>
            </wp:positionV>
            <wp:extent cx="1905000" cy="1905000"/>
            <wp:effectExtent l="0" t="0" r="0" b="0"/>
            <wp:wrapThrough wrapText="bothSides">
              <wp:wrapPolygon edited="0">
                <wp:start x="10584" y="5616"/>
                <wp:lineTo x="0" y="6912"/>
                <wp:lineTo x="0" y="8640"/>
                <wp:lineTo x="864" y="9504"/>
                <wp:lineTo x="0" y="12312"/>
                <wp:lineTo x="0" y="12744"/>
                <wp:lineTo x="648" y="15552"/>
                <wp:lineTo x="21384" y="15552"/>
                <wp:lineTo x="21384" y="11880"/>
                <wp:lineTo x="17928" y="10800"/>
                <wp:lineTo x="10800" y="9504"/>
                <wp:lineTo x="12528" y="6696"/>
                <wp:lineTo x="12312" y="5616"/>
                <wp:lineTo x="10584" y="5616"/>
              </wp:wrapPolygon>
            </wp:wrapThrough>
            <wp:docPr id="1669210078" name="Image 2"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905000" cy="1905000"/>
                    </a:xfrm>
                    <a:prstGeom prst="rect">
                      <a:avLst/>
                    </a:prstGeom>
                    <a:noFill/>
                    <a:ln>
                      <a:noFill/>
                    </a:ln>
                  </pic:spPr>
                </pic:pic>
              </a:graphicData>
            </a:graphic>
          </wp:anchor>
        </w:drawing>
      </w:r>
      <w:r w:rsidRPr="00D02311">
        <w:rPr>
          <w:sz w:val="56"/>
          <w:szCs w:val="56"/>
        </w:rPr>
        <w:t xml:space="preserve">Nouveautés </w:t>
      </w:r>
    </w:p>
    <w:p w14:paraId="65387E06" w14:textId="77777777" w:rsidR="00EF11F6" w:rsidRDefault="00EF11F6" w:rsidP="00EF11F6"/>
    <w:p w14:paraId="4347A317" w14:textId="77777777" w:rsidR="00EF11F6" w:rsidRPr="00813CD7" w:rsidRDefault="00EF11F6" w:rsidP="00EF11F6"/>
    <w:p w14:paraId="2E488D50" w14:textId="77777777" w:rsidR="00EF11F6" w:rsidRDefault="00EF11F6" w:rsidP="00EF11F6">
      <w:r>
        <w:rPr>
          <w:noProof/>
        </w:rPr>
        <w:drawing>
          <wp:anchor distT="0" distB="0" distL="114300" distR="114300" simplePos="0" relativeHeight="251658242" behindDoc="0" locked="0" layoutInCell="1" allowOverlap="1" wp14:anchorId="7D47E90A" wp14:editId="4AC42C8D">
            <wp:simplePos x="0" y="0"/>
            <wp:positionH relativeFrom="column">
              <wp:posOffset>668655</wp:posOffset>
            </wp:positionH>
            <wp:positionV relativeFrom="paragraph">
              <wp:posOffset>5715</wp:posOffset>
            </wp:positionV>
            <wp:extent cx="1308100" cy="1200150"/>
            <wp:effectExtent l="0" t="0" r="6350" b="0"/>
            <wp:wrapThrough wrapText="bothSides">
              <wp:wrapPolygon edited="0">
                <wp:start x="4404" y="0"/>
                <wp:lineTo x="3146" y="1714"/>
                <wp:lineTo x="2831" y="3771"/>
                <wp:lineTo x="3146" y="5486"/>
                <wp:lineTo x="0" y="10971"/>
                <wp:lineTo x="0" y="17486"/>
                <wp:lineTo x="2831" y="21257"/>
                <wp:lineTo x="3775" y="21257"/>
                <wp:lineTo x="9437" y="21257"/>
                <wp:lineTo x="10066" y="21257"/>
                <wp:lineTo x="21076" y="16800"/>
                <wp:lineTo x="21390" y="13714"/>
                <wp:lineTo x="21390" y="9600"/>
                <wp:lineTo x="19188" y="5486"/>
                <wp:lineTo x="21076" y="3771"/>
                <wp:lineTo x="20132" y="2400"/>
                <wp:lineTo x="8493" y="0"/>
                <wp:lineTo x="4404" y="0"/>
              </wp:wrapPolygon>
            </wp:wrapThrough>
            <wp:docPr id="553580010" name="Image 3"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308100" cy="1200150"/>
                    </a:xfrm>
                    <a:prstGeom prst="rect">
                      <a:avLst/>
                    </a:prstGeom>
                    <a:noFill/>
                    <a:ln>
                      <a:noFill/>
                    </a:ln>
                  </pic:spPr>
                </pic:pic>
              </a:graphicData>
            </a:graphic>
          </wp:anchor>
        </w:drawing>
      </w:r>
    </w:p>
    <w:p w14:paraId="3061F561" w14:textId="77777777" w:rsidR="00EF11F6" w:rsidRDefault="00EF11F6" w:rsidP="00EF11F6">
      <w:pPr>
        <w:jc w:val="center"/>
        <w:sectPr w:rsidR="00EF11F6" w:rsidSect="00EF11F6">
          <w:headerReference w:type="default" r:id="rId13"/>
          <w:footerReference w:type="default" r:id="rId14"/>
          <w:footerReference w:type="first" r:id="rId15"/>
          <w:pgSz w:w="11906" w:h="16838"/>
          <w:pgMar w:top="1417" w:right="1417" w:bottom="1417" w:left="1417" w:header="708" w:footer="708" w:gutter="0"/>
          <w:cols w:space="708"/>
          <w:titlePg/>
          <w:docGrid w:linePitch="360"/>
        </w:sectPr>
      </w:pPr>
    </w:p>
    <w:p w14:paraId="390F505F" w14:textId="77777777" w:rsidR="00EF11F6" w:rsidRPr="00813CD7" w:rsidRDefault="00EF11F6" w:rsidP="00EF11F6">
      <w:pPr>
        <w:jc w:val="center"/>
      </w:pPr>
    </w:p>
    <w:p w14:paraId="1B8B26F4" w14:textId="77777777" w:rsidR="00EF11F6" w:rsidRDefault="00EF11F6" w:rsidP="00EF11F6">
      <w:pPr>
        <w:pStyle w:val="Titre"/>
        <w:rPr>
          <w:sz w:val="56"/>
          <w:szCs w:val="56"/>
        </w:rPr>
      </w:pPr>
      <w:r w:rsidRPr="00D02311">
        <w:rPr>
          <w:sz w:val="56"/>
          <w:szCs w:val="56"/>
        </w:rPr>
        <w:t xml:space="preserve">GEEF </w:t>
      </w:r>
    </w:p>
    <w:p w14:paraId="44621B55" w14:textId="77777777" w:rsidR="00EF11F6" w:rsidRPr="00813CD7" w:rsidRDefault="00EF11F6" w:rsidP="00EF11F6"/>
    <w:p w14:paraId="02BF6AAB" w14:textId="77777777" w:rsidR="00EF11F6" w:rsidRDefault="00EF11F6" w:rsidP="00EF11F6"/>
    <w:p w14:paraId="046BCCFC" w14:textId="77777777" w:rsidR="00EF11F6" w:rsidRDefault="00EF11F6" w:rsidP="00EF11F6"/>
    <w:p w14:paraId="36A38F21" w14:textId="77777777" w:rsidR="00EF11F6" w:rsidRPr="00813CD7" w:rsidRDefault="00EF11F6" w:rsidP="00EF11F6">
      <w:pPr>
        <w:jc w:val="center"/>
      </w:pPr>
    </w:p>
    <w:p w14:paraId="3BB6BC92" w14:textId="77777777" w:rsidR="00EF11F6" w:rsidRDefault="00EF11F6" w:rsidP="00EF11F6">
      <w:pPr>
        <w:pStyle w:val="Titre"/>
        <w:rPr>
          <w:sz w:val="56"/>
          <w:szCs w:val="56"/>
        </w:rPr>
      </w:pPr>
      <w:r w:rsidRPr="000C7403">
        <w:rPr>
          <w:sz w:val="56"/>
          <w:szCs w:val="56"/>
        </w:rPr>
        <w:t xml:space="preserve">Virtualia </w:t>
      </w:r>
    </w:p>
    <w:p w14:paraId="6C6D048E" w14:textId="77777777" w:rsidR="00EF11F6" w:rsidRDefault="00EF11F6" w:rsidP="00EF11F6">
      <w:pPr>
        <w:rPr>
          <w:rFonts w:asciiTheme="majorHAnsi" w:eastAsiaTheme="majorEastAsia" w:hAnsiTheme="majorHAnsi" w:cstheme="majorBidi"/>
          <w:i/>
          <w:iCs/>
          <w:color w:val="1F3763" w:themeColor="accent1" w:themeShade="7F"/>
          <w:sz w:val="60"/>
          <w:szCs w:val="60"/>
        </w:rPr>
        <w:sectPr w:rsidR="00EF11F6" w:rsidSect="00EF11F6">
          <w:type w:val="continuous"/>
          <w:pgSz w:w="11906" w:h="16838"/>
          <w:pgMar w:top="1417" w:right="1417" w:bottom="1417" w:left="1417" w:header="708" w:footer="708" w:gutter="0"/>
          <w:cols w:num="2" w:space="848"/>
          <w:titlePg/>
          <w:docGrid w:linePitch="360"/>
        </w:sectPr>
      </w:pPr>
    </w:p>
    <w:p w14:paraId="2D549B6C" w14:textId="77777777" w:rsidR="00EF11F6" w:rsidRPr="00CA5788" w:rsidRDefault="00EF11F6" w:rsidP="00EF11F6"/>
    <w:p w14:paraId="21DB3E00" w14:textId="77777777" w:rsidR="00EF11F6" w:rsidRPr="00CA5788" w:rsidRDefault="00EF11F6" w:rsidP="00EF11F6"/>
    <w:p w14:paraId="72E64F94" w14:textId="77777777" w:rsidR="00EF11F6" w:rsidRPr="00CA5788" w:rsidRDefault="00EF11F6" w:rsidP="00EF11F6"/>
    <w:p w14:paraId="0887C8D8" w14:textId="17352D6A" w:rsidR="00EF11F6" w:rsidRPr="00CA5788" w:rsidRDefault="00EF11F6" w:rsidP="00EF11F6">
      <w:pPr>
        <w:pStyle w:val="Titre"/>
        <w:tabs>
          <w:tab w:val="left" w:pos="-1560"/>
        </w:tabs>
        <w:ind w:hanging="2552"/>
      </w:pPr>
      <w:r>
        <w:rPr>
          <w:sz w:val="56"/>
          <w:szCs w:val="56"/>
        </w:rPr>
        <w:t xml:space="preserve">                     Version 6.0</w:t>
      </w:r>
      <w:r w:rsidRPr="000C7403">
        <w:rPr>
          <w:sz w:val="56"/>
          <w:szCs w:val="56"/>
        </w:rPr>
      </w:r>
      <w:r w:rsidR="00B56984">
        <w:rPr>
          <w:sz w:val="56"/>
          <w:szCs w:val="56"/>
        </w:rPr>
      </w:r>
      <w:r w:rsidR="00234BAE">
        <w:rPr>
          <w:sz w:val="56"/>
          <w:szCs w:val="56"/>
        </w:rPr>
      </w:r>
    </w:p>
    <w:p w14:paraId="409D908D" w14:textId="404CD654" w:rsidR="00824313" w:rsidRPr="00CA5788" w:rsidRDefault="00824313" w:rsidP="00824313"/>
    <w:p w14:paraId="77BF4896" w14:textId="5EC738FE" w:rsidR="00824313" w:rsidRPr="00CA5788" w:rsidRDefault="000E31A5" w:rsidP="00824313">
      <w:pPr>
        <w:ind w:firstLine="708"/>
      </w:pPr>
      <w:r>
        <w:rPr>
          <w:noProof/>
        </w:rPr>
        <w:drawing>
          <wp:anchor distT="0" distB="0" distL="114300" distR="114300" simplePos="0" relativeHeight="251658240" behindDoc="1" locked="0" layoutInCell="1" allowOverlap="1" wp14:anchorId="5F9BFB69" wp14:editId="08704EBD">
            <wp:simplePos x="0" y="0"/>
            <wp:positionH relativeFrom="margin">
              <wp:posOffset>1874243</wp:posOffset>
            </wp:positionH>
            <wp:positionV relativeFrom="paragraph">
              <wp:posOffset>171560</wp:posOffset>
            </wp:positionV>
            <wp:extent cx="2059305" cy="1327785"/>
            <wp:effectExtent l="0" t="0" r="0" b="5715"/>
            <wp:wrapTight wrapText="bothSides">
              <wp:wrapPolygon edited="0">
                <wp:start x="0" y="0"/>
                <wp:lineTo x="0" y="21383"/>
                <wp:lineTo x="21380" y="21383"/>
                <wp:lineTo x="21380" y="0"/>
                <wp:lineTo x="0" y="0"/>
              </wp:wrapPolygon>
            </wp:wrapTight>
            <wp:docPr id="1058219521" name="Image 5">
              <a:extLst xmlns:a="http://schemas.openxmlformats.org/drawingml/2006/main">
                <a:ext uri="{FF2B5EF4-FFF2-40B4-BE49-F238E27FC236}">
                  <a16:creationId xmlns:a16="http://schemas.microsoft.com/office/drawing/2014/main" id="{D1B8BA03-34D7-44D2-A20F-CB5798AE6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059305" cy="1327785"/>
                    </a:xfrm>
                    <a:prstGeom prst="rect">
                      <a:avLst/>
                    </a:prstGeom>
                    <a:noFill/>
                    <a:ln>
                      <a:noFill/>
                    </a:ln>
                  </pic:spPr>
                </pic:pic>
              </a:graphicData>
            </a:graphic>
          </wp:anchor>
        </w:drawing>
      </w:r>
    </w:p>
    <w:p w14:paraId="2BAE096F" w14:textId="78781CA5" w:rsidR="00E255E8" w:rsidRDefault="00475933" w:rsidP="000E31A5">
      <w:pPr>
        <w:ind w:firstLine="708"/>
      </w:pPr>
      <w:r>
        <w:rPr>
          <w:noProof/>
        </w:rPr>
        <w:drawing>
          <wp:inline distT="0" distB="0" distL="0" distR="0" wp14:anchorId="75191FFE" wp14:editId="3DE1546A">
            <wp:extent cx="2127885" cy="597535"/>
            <wp:effectExtent l="0" t="0" r="5715" b="0"/>
            <wp:docPr id="480011442" name="Image 4">
              <a:extLst xmlns:a="http://schemas.openxmlformats.org/drawingml/2006/main">
                <a:ext uri="{FF2B5EF4-FFF2-40B4-BE49-F238E27FC236}">
                  <a16:creationId xmlns:a16="http://schemas.microsoft.com/office/drawing/2014/main" id="{FABA6931-9955-4CD5-9B9A-DD5AFD40C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127885" cy="597535"/>
                    </a:xfrm>
                    <a:prstGeom prst="rect">
                      <a:avLst/>
                    </a:prstGeom>
                    <a:noFill/>
                  </pic:spPr>
                </pic:pic>
              </a:graphicData>
            </a:graphic>
          </wp:inline>
        </w:drawing>
      </w:r>
    </w:p>
    <w:p>
      <w:pPr>
        <w:pStyle w:val="Titre1"/>
      </w:pPr>
      <w:r>
        <w:t>Préambule</w:t>
      </w:r>
    </w:p>
    <w:p/>
    <w:p>
      <w:r>
        <w:rPr>
          <w:b/>
          <w:color w:val="EE0000"/>
          <w:sz w:val="32"/>
        </w:rPr>
        <w:t>Important :</w:t>
      </w:r>
      <w:r>
        <w:rPr>
          <w:color w:val="EE0000"/>
          <w:sz w:val="32"/>
        </w:rPr>
        <w:t xml:space="preserve"> Cette version 6.0 requiert un passage préalable par la version 5.20. Les sauts de version ne sont pas supportés et pourraient entraîner des dysfonctionnements. Veuillez vérifier que vous êtes en 5.20 ou 5.20.1 avant de mettre à jour vers la 6.0.</w:t>
      </w:r>
    </w:p>
    <w:p/>
    <w:p>
      <w:r>
        <w:rPr>
          <w:color w:val="EE0000"/>
          <w:sz w:val="32"/>
        </w:rPr>
        <w:t xml:space="preserve">Dans le cadre de la mise à jour des librairies et leur conformité avec les correctifs de sécurité, cette version de GEEF / Virtualia, </w:t>
      </w:r>
      <w:r>
        <w:rPr>
          <w:b/>
          <w:color w:val="EE0000"/>
          <w:sz w:val="32"/>
        </w:rPr>
        <w:t>version 6.0</w:t>
      </w:r>
      <w:r>
        <w:rPr>
          <w:color w:val="EE0000"/>
          <w:sz w:val="32"/>
        </w:rPr>
        <w:t xml:space="preserve">, a été rendue </w:t>
      </w:r>
      <w:r>
        <w:rPr>
          <w:b/>
          <w:color w:val="EE0000"/>
          <w:sz w:val="32"/>
        </w:rPr>
        <w:t>compatible avec Tomcat 11</w:t>
      </w:r>
      <w:r>
        <w:rPr>
          <w:color w:val="EE0000"/>
          <w:sz w:val="32"/>
        </w:rPr>
        <w:t xml:space="preserve"> et intégrera des librairies </w:t>
      </w:r>
      <w:r>
        <w:rPr>
          <w:b/>
          <w:color w:val="EE0000"/>
          <w:sz w:val="32"/>
        </w:rPr>
        <w:t>Java 21</w:t>
      </w:r>
      <w:r>
        <w:rPr>
          <w:color w:val="EE0000"/>
          <w:sz w:val="32"/>
        </w:rPr>
        <w:t>.</w:t>
      </w:r>
    </w:p>
    <w:p/>
    <w:p>
      <w:r>
        <w:rPr>
          <w:color w:val="EE0000"/>
          <w:sz w:val="32"/>
        </w:rPr>
        <w:t>Cette version de GEEF / Virtualia n’est plus compatible avec Tomcat 8, Tomcat 8.5 et Tomcat 9, le passage à Tomcat 10.1 est impératif, le passage à Tomcat 11 est possible avec quelques risques résiduels.</w:t>
      </w:r>
    </w:p>
    <w:p/>
    <w:p>
      <w:r>
        <w:rPr>
          <w:color w:val="EE0000"/>
          <w:sz w:val="32"/>
        </w:rPr>
        <w:t>Cette version de GEEF / Virtualia n’est plus compatible avec Java 8. Elle est partiellement compatible Java 17, cependant nous recommandons le passage à Java 21 ou plus récent.</w:t>
      </w:r>
    </w:p>
    <w:p/>
    <w:p>
      <w:r>
        <w:rPr>
          <w:color w:val="EE0000"/>
          <w:sz w:val="32"/>
        </w:rPr>
        <w:t xml:space="preserve">Vos environnements doivent être mis à jour vers </w:t>
      </w:r>
      <w:r>
        <w:rPr>
          <w:b/>
          <w:color w:val="EE0000"/>
          <w:sz w:val="32"/>
        </w:rPr>
        <w:t>Java 21</w:t>
      </w:r>
      <w:r>
        <w:rPr>
          <w:color w:val="EE0000"/>
          <w:sz w:val="32"/>
        </w:rPr>
        <w:t xml:space="preserve"> (ou plus) et </w:t>
      </w:r>
      <w:r>
        <w:rPr>
          <w:b/>
          <w:color w:val="EE0000"/>
          <w:sz w:val="32"/>
        </w:rPr>
        <w:t>Tomcat 10.1.x</w:t>
      </w:r>
      <w:r>
        <w:rPr>
          <w:color w:val="EE0000"/>
          <w:sz w:val="32"/>
        </w:rPr>
        <w:t>.</w:t>
      </w:r>
    </w:p>
    <w:p/>
    <w:p>
      <w:r>
        <w:t>Les clients concernés par les éléments contenant le mot clé « Oracle » sont, par ordre alphabétique : le SDIS 68, le SDIS 78 et le SDMIS (SDIS 69). Ces SDIS ne sont pas concernés par les éléments contenant le mot clé « MySQL » ou « MariaDB ».</w:t>
      </w:r>
    </w:p>
    <w:p/>
    <w:p>
      <w:r>
        <w:t>Les autres clients ne sont pas concernés par les éléments « Oracle » mais sont concernés par les éléments contenant le mot clé « MySQL ».</w:t>
      </w:r>
    </w:p>
    <w:p>
      <w:r>
        <w:br w:type="page"/>
      </w:r>
    </w:p>
    <w:p>
      <w:pPr>
        <w:pStyle w:val="Titre1"/>
      </w:pPr>
      <w:r>
        <w:t>Général</w:t>
      </w:r>
    </w:p>
    <w:p>
      <w:pPr>
        <w:pStyle w:val="Titre2"/>
      </w:pPr>
      <w:r>
        <w:t>EL01 : [Transition Graphique] Evolution du design de la navigation. Le menu devient un menu latéral à niveaux multiples. Le cheminement se fait sur le modèle suivant : Module &gt; Type ("Général","Synthèse","Administration") &gt; Section &gt; Page. [Pas de Mantis]</w:t>
      </w:r>
    </w:p>
    <w:p>
      <w:r>
        <w:drawing>
          <wp:inline xmlns:a="http://schemas.openxmlformats.org/drawingml/2006/main" xmlns:pic="http://schemas.openxmlformats.org/drawingml/2006/picture">
            <wp:extent cx="5762625" cy="2835643"/>
            <wp:docPr id="1669210079" name="Picture 1669210079" descr="EL01 - illustration 1"/>
            <wp:cNvGraphicFramePr>
              <a:graphicFrameLocks noChangeAspect="1"/>
            </wp:cNvGraphicFramePr>
            <a:graphic>
              <a:graphicData uri="http://schemas.openxmlformats.org/drawingml/2006/picture">
                <pic:pic>
                  <pic:nvPicPr>
                    <pic:cNvPr id="0" name="6-0_001.png"/>
                    <pic:cNvPicPr/>
                  </pic:nvPicPr>
                  <pic:blipFill>
                    <a:blip r:embed="rId18"/>
                    <a:stretch>
                      <a:fillRect/>
                    </a:stretch>
                  </pic:blipFill>
                  <pic:spPr>
                    <a:xfrm>
                      <a:off x="0" y="0"/>
                      <a:ext cx="5762625" cy="2835643"/>
                    </a:xfrm>
                    <a:prstGeom prst="rect"/>
                  </pic:spPr>
                </pic:pic>
              </a:graphicData>
            </a:graphic>
          </wp:inline>
        </w:drawing>
      </w:r>
    </w:p>
    <w:p>
      <w:r>
        <w:t>Voir la documentation sur la Refonte graphique (https://geef-virtualia.github.io/geef-docs/Note-de-Version/refonte_graphique/).</w:t>
      </w:r>
    </w:p>
    <w:p>
      <w:pPr>
        <w:pStyle w:val="Titre2"/>
      </w:pPr>
      <w:r>
        <w:t>EL02 : [Transition Graphique] La déconnexion se fera désormais en bas du menu latéral [Pas de Mantis]</w:t>
      </w:r>
    </w:p>
    <w:p>
      <w:r>
        <w:drawing>
          <wp:inline xmlns:a="http://schemas.openxmlformats.org/drawingml/2006/main" xmlns:pic="http://schemas.openxmlformats.org/drawingml/2006/picture">
            <wp:extent cx="5762625" cy="2835643"/>
            <wp:docPr id="1669210080" name="Picture 1669210080" descr="EL02 - illustration 1"/>
            <wp:cNvGraphicFramePr>
              <a:graphicFrameLocks noChangeAspect="1"/>
            </wp:cNvGraphicFramePr>
            <a:graphic>
              <a:graphicData uri="http://schemas.openxmlformats.org/drawingml/2006/picture">
                <pic:pic>
                  <pic:nvPicPr>
                    <pic:cNvPr id="0" name="6-0_002.png"/>
                    <pic:cNvPicPr/>
                  </pic:nvPicPr>
                  <pic:blipFill>
                    <a:blip r:embed="rId19"/>
                    <a:stretch>
                      <a:fillRect/>
                    </a:stretch>
                  </pic:blipFill>
                  <pic:spPr>
                    <a:xfrm>
                      <a:off x="0" y="0"/>
                      <a:ext cx="5762625" cy="2835643"/>
                    </a:xfrm>
                    <a:prstGeom prst="rect"/>
                  </pic:spPr>
                </pic:pic>
              </a:graphicData>
            </a:graphic>
          </wp:inline>
        </w:drawing>
      </w:r>
    </w:p>
    <w:p>
      <w:r>
        <w:t>Voir la documentation sur la Refonte graphique (https://geef-virtualia.github.io/geef-docs/Note-de-Version/refonte_graphique/).</w:t>
      </w:r>
    </w:p>
    <w:p>
      <w:pPr>
        <w:pStyle w:val="Titre2"/>
      </w:pPr>
      <w:r>
        <w:t>EL03 : [Transition Graphique] Nouveau design du paramétrage des rôles : liste des rôles à gauche, détail à droite (premier rôle ouvert par défaut). Les droits se choisissent par boutons, avec modification en masse par rubrique, page à sous-menus, groupe d'actions et table de champs [Pas de Mantis]</w:t>
      </w:r>
    </w:p>
    <w:p>
      <w:r>
        <w:t>L'écran de paramétrage des rôles a un nouveau design. La liste des rôles sera situé sur la gauche de l'écran, et son détail devient directement accessible sur la partie droite. Le détail du premier rôle de la liste sera ouvert par défaut. Le choix des droits passe sous forme de boutons cliquables avec une modification en masse possible par rubrique de menu, par page à sous-menus, par groupe d'actions et par table de champs ; pour les actions objets, les boutons « L » et « M » de la modification en masse ne s'appliquent qu'aux actions disposant d'un niveau libellé exactement « Lecture » ou « Modification », les autres restant inchangées</w:t>
      </w:r>
    </w:p>
    <w:p>
      <w:r>
        <w:drawing>
          <wp:inline xmlns:a="http://schemas.openxmlformats.org/drawingml/2006/main" xmlns:pic="http://schemas.openxmlformats.org/drawingml/2006/picture">
            <wp:extent cx="5762625" cy="2839118"/>
            <wp:docPr id="1669210081" name="Picture 1669210081" descr="EL03 - illustration 1"/>
            <wp:cNvGraphicFramePr>
              <a:graphicFrameLocks noChangeAspect="1"/>
            </wp:cNvGraphicFramePr>
            <a:graphic>
              <a:graphicData uri="http://schemas.openxmlformats.org/drawingml/2006/picture">
                <pic:pic>
                  <pic:nvPicPr>
                    <pic:cNvPr id="0" name="6-0_003.png"/>
                    <pic:cNvPicPr/>
                  </pic:nvPicPr>
                  <pic:blipFill>
                    <a:blip r:embed="rId20"/>
                    <a:stretch>
                      <a:fillRect/>
                    </a:stretch>
                  </pic:blipFill>
                  <pic:spPr>
                    <a:xfrm>
                      <a:off x="0" y="0"/>
                      <a:ext cx="5762625" cy="2839118"/>
                    </a:xfrm>
                    <a:prstGeom prst="rect"/>
                  </pic:spPr>
                </pic:pic>
              </a:graphicData>
            </a:graphic>
          </wp:inline>
        </w:drawing>
      </w:r>
    </w:p>
    <w:p>
      <w:r>
        <w:t>Voir la documentation sur la Refonte graphique (https://geef-virtualia.github.io/geef-docs/Note-de-Version/refonte_graphique/).</w:t>
      </w:r>
    </w:p>
    <w:p>
      <w:pPr>
        <w:pStyle w:val="Titre2"/>
      </w:pPr>
      <w:r>
        <w:t>EL04 : [Transition Graphique] Paramétrage des rôles : affichage du nombre d'utilisateurs du rôle, du nombre de menus accordés et d'une infographie des niveaux de droits ; chaque rubrique et page à sous-menus indique son nombre d'accès [Pas de Mantis]</w:t>
      </w:r>
    </w:p>
    <w:p>
      <w:r>
        <w:t>Ajout d'informations portant sur le nombre d'utilisateurs possédant le rôle, sur le nombre de menus ayant un droit d'accès différent de "Refusé" et une infographie sur les différents niveaux de droits accordés (niveau le plus bas, niveaux intermédiaires, niveau le plus haut) ; chaque rubrique de menu affiche son nombre d'accès accordés et chaque page à sous-menus son nombre de sous-menus, à côté de son titre</w:t>
      </w:r>
    </w:p>
    <w:p>
      <w:r>
        <w:drawing>
          <wp:inline xmlns:a="http://schemas.openxmlformats.org/drawingml/2006/main" xmlns:pic="http://schemas.openxmlformats.org/drawingml/2006/picture">
            <wp:extent cx="5762625" cy="2221697"/>
            <wp:docPr id="1669210082" name="Picture 1669210082" descr="EL04 - illustration 1"/>
            <wp:cNvGraphicFramePr>
              <a:graphicFrameLocks noChangeAspect="1"/>
            </wp:cNvGraphicFramePr>
            <a:graphic>
              <a:graphicData uri="http://schemas.openxmlformats.org/drawingml/2006/picture">
                <pic:pic>
                  <pic:nvPicPr>
                    <pic:cNvPr id="0" name="6-0_004.png"/>
                    <pic:cNvPicPr/>
                  </pic:nvPicPr>
                  <pic:blipFill>
                    <a:blip r:embed="rId21"/>
                    <a:stretch>
                      <a:fillRect/>
                    </a:stretch>
                  </pic:blipFill>
                  <pic:spPr>
                    <a:xfrm>
                      <a:off x="0" y="0"/>
                      <a:ext cx="5762625" cy="2221697"/>
                    </a:xfrm>
                    <a:prstGeom prst="rect"/>
                  </pic:spPr>
                </pic:pic>
              </a:graphicData>
            </a:graphic>
          </wp:inline>
        </w:drawing>
      </w:r>
    </w:p>
    <w:p>
      <w:r>
        <w:t>Voir la documentation sur la Refonte graphique (https://geef-virtualia.github.io/geef-docs/Note-de-Version/refonte_graphique/).</w:t>
      </w:r>
    </w:p>
    <w:p>
      <w:pPr>
        <w:pStyle w:val="Titre2"/>
      </w:pPr>
      <w:r>
        <w:t>EL05 : [Transition Graphique] Ajout d'une barre de recherche dans chaque onglet du paramétrage des rôles pour trouver plus facilement un menu, une action objet (par groupe ou par action) ou un champ accessible (par table ou par champ) [Pas de Mantis]</w:t>
      </w:r>
    </w:p>
    <w:p>
      <w:r>
        <w:drawing>
          <wp:inline xmlns:a="http://schemas.openxmlformats.org/drawingml/2006/main" xmlns:pic="http://schemas.openxmlformats.org/drawingml/2006/picture">
            <wp:extent cx="5762625" cy="2257264"/>
            <wp:docPr id="1669210083" name="Picture 1669210083" descr="EL05 - illustration 1"/>
            <wp:cNvGraphicFramePr>
              <a:graphicFrameLocks noChangeAspect="1"/>
            </wp:cNvGraphicFramePr>
            <a:graphic>
              <a:graphicData uri="http://schemas.openxmlformats.org/drawingml/2006/picture">
                <pic:pic>
                  <pic:nvPicPr>
                    <pic:cNvPr id="0" name="6-0_005.png"/>
                    <pic:cNvPicPr/>
                  </pic:nvPicPr>
                  <pic:blipFill>
                    <a:blip r:embed="rId22"/>
                    <a:stretch>
                      <a:fillRect/>
                    </a:stretch>
                  </pic:blipFill>
                  <pic:spPr>
                    <a:xfrm>
                      <a:off x="0" y="0"/>
                      <a:ext cx="5762625" cy="2257264"/>
                    </a:xfrm>
                    <a:prstGeom prst="rect"/>
                  </pic:spPr>
                </pic:pic>
              </a:graphicData>
            </a:graphic>
          </wp:inline>
        </w:drawing>
      </w:r>
    </w:p>
    <w:p>
      <w:r>
        <w:t>Voir la documentation sur la Refonte graphique (https://geef-virtualia.github.io/geef-docs/Note-de-Version/refonte_graphique/).</w:t>
      </w:r>
    </w:p>
    <w:p>
      <w:pPr>
        <w:pStyle w:val="Titre2"/>
      </w:pPr>
      <w:r>
        <w:t>EL06 : [Transition Graphique] Écrans épinglés : une étoile sur chaque écran du menu l'ajoute à la rubrique « Épinglés » en tête du menu. Réordonnables par glisser-déposer, ils sont enregistrés par utilisateur, quel que soit le poste [Pas de Mantis]</w:t>
      </w:r>
    </w:p>
    <w:p>
      <w:r>
        <w:t>Écrans épinglés : chaque écran du menu porte une étoile permettant de l'ajouter à une rubrique « Épinglés » placée en tête du menu latéral, ou de l'en retirer ; l'écran en cours peut aussi être épinglé depuis l'en-tête de page. Les épinglés se réordonnent par glisser-déposer et sont enregistrés par utilisateur : ils sont retrouvés quel que soit le poste ou le navigateur, et seuls les écrans accessibles à l'utilisateur peuvent être épinglés</w:t>
      </w:r>
    </w:p>
    <w:p>
      <w:r>
        <w:drawing>
          <wp:inline xmlns:a="http://schemas.openxmlformats.org/drawingml/2006/main" xmlns:pic="http://schemas.openxmlformats.org/drawingml/2006/picture">
            <wp:extent cx="5762625" cy="1835076"/>
            <wp:docPr id="1669210084" name="Picture 1669210084" descr="EL06 - illustration 1"/>
            <wp:cNvGraphicFramePr>
              <a:graphicFrameLocks noChangeAspect="1"/>
            </wp:cNvGraphicFramePr>
            <a:graphic>
              <a:graphicData uri="http://schemas.openxmlformats.org/drawingml/2006/picture">
                <pic:pic>
                  <pic:nvPicPr>
                    <pic:cNvPr id="0" name="6-0_006.png"/>
                    <pic:cNvPicPr/>
                  </pic:nvPicPr>
                  <pic:blipFill>
                    <a:blip r:embed="rId23"/>
                    <a:stretch>
                      <a:fillRect/>
                    </a:stretch>
                  </pic:blipFill>
                  <pic:spPr>
                    <a:xfrm>
                      <a:off x="0" y="0"/>
                      <a:ext cx="5762625" cy="1835076"/>
                    </a:xfrm>
                    <a:prstGeom prst="rect"/>
                  </pic:spPr>
                </pic:pic>
              </a:graphicData>
            </a:graphic>
          </wp:inline>
        </w:drawing>
      </w:r>
    </w:p>
    <w:p>
      <w:r>
        <w:t>Voir la documentation sur la Refonte graphique (https://geef-virtualia.github.io/geef-docs/Note-de-Version/refonte_graphique/).</w:t>
      </w:r>
    </w:p>
    <w:p>
      <w:pPr>
        <w:pStyle w:val="Titre2"/>
      </w:pPr>
      <w:r>
        <w:t>EL07 : [Transition Graphique] Recherche dans le menu : un champ en tête du menu latéral (raccourci clavier Ctrl+K) filtre les écrans accessibles au fil de la saisie, avec parcours des résultats au clavier (flèches, Entrée, Échap) ; le volet des sous-menus d'une rubrique dispose de son propre filtre et de boutons « Tout déplier » / « Tout replier » [Pas de Mantis]</w:t>
      </w:r>
    </w:p>
    <w:p>
      <w:r>
        <w:drawing>
          <wp:inline xmlns:a="http://schemas.openxmlformats.org/drawingml/2006/main" xmlns:pic="http://schemas.openxmlformats.org/drawingml/2006/picture">
            <wp:extent cx="5762625" cy="2837688"/>
            <wp:docPr id="1669210085" name="Picture 1669210085" descr="EL07 - illustration 1"/>
            <wp:cNvGraphicFramePr>
              <a:graphicFrameLocks noChangeAspect="1"/>
            </wp:cNvGraphicFramePr>
            <a:graphic>
              <a:graphicData uri="http://schemas.openxmlformats.org/drawingml/2006/picture">
                <pic:pic>
                  <pic:nvPicPr>
                    <pic:cNvPr id="0" name="6-0_007.png"/>
                    <pic:cNvPicPr/>
                  </pic:nvPicPr>
                  <pic:blipFill>
                    <a:blip r:embed="rId24"/>
                    <a:stretch>
                      <a:fillRect/>
                    </a:stretch>
                  </pic:blipFill>
                  <pic:spPr>
                    <a:xfrm>
                      <a:off x="0" y="0"/>
                      <a:ext cx="5762625" cy="2837688"/>
                    </a:xfrm>
                    <a:prstGeom prst="rect"/>
                  </pic:spPr>
                </pic:pic>
              </a:graphicData>
            </a:graphic>
          </wp:inline>
        </w:drawing>
      </w:r>
    </w:p>
    <w:p>
      <w:r>
        <w:t>Voir la documentation sur la Refonte graphique (https://geef-virtualia.github.io/geef-docs/Note-de-Version/refonte_graphique/).</w:t>
      </w:r>
    </w:p>
    <w:p>
      <w:pPr>
        <w:pStyle w:val="Titre2"/>
      </w:pPr>
      <w:r>
        <w:t>EL08 : [Transition Graphique] Menu latéral repliable en rail de pictogrammes et redimensionnable. Nouvel espace « Préférences » (pied du menu), avec l'option « Menu toujours ouvert » ; préférences enregistrées avec le compte, quel que soit le poste [Pas de Mantis]</w:t>
      </w:r>
    </w:p>
    <w:p>
      <w:r>
        <w:t>Le menu latéral est repliable en un rail de pictogrammes et sa largeur se règle en faisant glisser son bord droit (double-clic pour rétablir la largeur par défaut). Un espace « Préférences », ouvert par le bouton de réglages au pied du menu, regroupe les options personnelles d'affichage, avec pour commencer l'option « Menu toujours ouvert ». Active (par défaut), le menu ouvert se place à côté du contenu, qui se décale pour lui laisser la place : il est déployé à l'ouverture de la session, puis reste ouvert ou fermé tel que l'utilisateur l'a laissé, d'un écran à l'autre et jusqu'à sa déconnexion, y compris lorsque l'adresse d'un écran est saisie directement. Désactivée, le menu est replié en rail et se déploie par-dessus le contenu (clic sur une rubrique, recherche), le temps de choisir un écran ; ce déploiement n'est pas conservé d'un écran à l'autre. Ces préférences sont enregistrées avec le compte de l'utilisateur : elles sont retrouvées quel que soit le poste ou le navigateur, et sont communes à tous ses profils</w:t>
      </w:r>
    </w:p>
    <w:p>
      <w:r>
        <w:drawing>
          <wp:inline xmlns:a="http://schemas.openxmlformats.org/drawingml/2006/main" xmlns:pic="http://schemas.openxmlformats.org/drawingml/2006/picture">
            <wp:extent cx="5324475" cy="2678850"/>
            <wp:docPr id="1669210086" name="Picture 1669210086" descr="EL08 - illustration 1"/>
            <wp:cNvGraphicFramePr>
              <a:graphicFrameLocks noChangeAspect="1"/>
            </wp:cNvGraphicFramePr>
            <a:graphic>
              <a:graphicData uri="http://schemas.openxmlformats.org/drawingml/2006/picture">
                <pic:pic>
                  <pic:nvPicPr>
                    <pic:cNvPr id="0" name="6-0_008.png"/>
                    <pic:cNvPicPr/>
                  </pic:nvPicPr>
                  <pic:blipFill>
                    <a:blip r:embed="rId25"/>
                    <a:stretch>
                      <a:fillRect/>
                    </a:stretch>
                  </pic:blipFill>
                  <pic:spPr>
                    <a:xfrm>
                      <a:off x="0" y="0"/>
                      <a:ext cx="5324475" cy="2678850"/>
                    </a:xfrm>
                    <a:prstGeom prst="rect"/>
                  </pic:spPr>
                </pic:pic>
              </a:graphicData>
            </a:graphic>
          </wp:inline>
        </w:drawing>
      </w:r>
    </w:p>
    <w:p>
      <w:r>
        <w:t>Voir la documentation sur la Refonte graphique (https://geef-virtualia.github.io/geef-docs/Note-de-Version/refonte_graphique/).</w:t>
      </w:r>
    </w:p>
    <w:p>
      <w:pPr>
        <w:pStyle w:val="Titre2"/>
      </w:pPr>
      <w:r>
        <w:t>EL09 : [Transition Graphique] Couleurs du menu déduites de la couleur principale de la charte du client. Fil d'Ariane, recherche générale, sélecteur de profil et actions de page sont regroupés dans l'en-tête ; l'utilisateur connecté est affiché au pied du menu [Pas de Mantis]</w:t>
      </w:r>
    </w:p>
    <w:p>
      <w:r>
        <w:t>Les couleurs du menu latéral et de son volet de sous-menus sont dérivées automatiquement de la couleur principale de la charte paramétrée pour le client : le volet reprend cette couleur et le menu une teinte légèrement plus soutenue, un assombrissement n'étant appliqué que lorsque la couleur est trop claire pour garantir la lisibilité des libellés. Le fil d'Ariane de l'écran en cours, la recherche générale (désormais ouverte par une loupe et affichée par-dessus l'écran, les résultats s'ouvrant toujours dans un nouvel onglet), le sélecteur de profil et les actions de page (nouvelle fenêtre, documentation, aide en ligne) sont regroupés dans l'en-tête de la zone de contenu ; l'utilisateur connecté (nom, initiales, détail au survol) est affiché au pied du menu. Sur mobile, le menu s'ouvre par un bouton dédié</w:t>
      </w:r>
    </w:p>
    <w:p>
      <w:r>
        <w:drawing>
          <wp:inline xmlns:a="http://schemas.openxmlformats.org/drawingml/2006/main" xmlns:pic="http://schemas.openxmlformats.org/drawingml/2006/picture">
            <wp:extent cx="4781550" cy="3563537"/>
            <wp:docPr id="1669210087" name="Picture 1669210087" descr="EL09 - illustration 1"/>
            <wp:cNvGraphicFramePr>
              <a:graphicFrameLocks noChangeAspect="1"/>
            </wp:cNvGraphicFramePr>
            <a:graphic>
              <a:graphicData uri="http://schemas.openxmlformats.org/drawingml/2006/picture">
                <pic:pic>
                  <pic:nvPicPr>
                    <pic:cNvPr id="0" name="6-0_009.png"/>
                    <pic:cNvPicPr/>
                  </pic:nvPicPr>
                  <pic:blipFill>
                    <a:blip r:embed="rId26"/>
                    <a:stretch>
                      <a:fillRect/>
                    </a:stretch>
                  </pic:blipFill>
                  <pic:spPr>
                    <a:xfrm>
                      <a:off x="0" y="0"/>
                      <a:ext cx="4781550" cy="3563537"/>
                    </a:xfrm>
                    <a:prstGeom prst="rect"/>
                  </pic:spPr>
                </pic:pic>
              </a:graphicData>
            </a:graphic>
          </wp:inline>
        </w:drawing>
      </w:r>
    </w:p>
    <w:p>
      <w:r>
        <w:drawing>
          <wp:inline xmlns:a="http://schemas.openxmlformats.org/drawingml/2006/main" xmlns:pic="http://schemas.openxmlformats.org/drawingml/2006/picture">
            <wp:extent cx="2181225" cy="2829817"/>
            <wp:docPr id="1669210088" name="Picture 1669210088" descr="EL09 - illustration 2"/>
            <wp:cNvGraphicFramePr>
              <a:graphicFrameLocks noChangeAspect="1"/>
            </wp:cNvGraphicFramePr>
            <a:graphic>
              <a:graphicData uri="http://schemas.openxmlformats.org/drawingml/2006/picture">
                <pic:pic>
                  <pic:nvPicPr>
                    <pic:cNvPr id="0" name="6-0_010.png"/>
                    <pic:cNvPicPr/>
                  </pic:nvPicPr>
                  <pic:blipFill>
                    <a:blip r:embed="rId27"/>
                    <a:stretch>
                      <a:fillRect/>
                    </a:stretch>
                  </pic:blipFill>
                  <pic:spPr>
                    <a:xfrm>
                      <a:off x="0" y="0"/>
                      <a:ext cx="2181225" cy="2829817"/>
                    </a:xfrm>
                    <a:prstGeom prst="rect"/>
                  </pic:spPr>
                </pic:pic>
              </a:graphicData>
            </a:graphic>
          </wp:inline>
        </w:drawing>
      </w:r>
    </w:p>
    <w:p>
      <w:r>
        <w:t>Voir la documentation sur la Refonte graphique (https://geef-virtualia.github.io/geef-docs/Note-de-Version/refonte_graphique/).</w:t>
      </w:r>
    </w:p>
    <w:p>
      <w:pPr>
        <w:pStyle w:val="Titre2"/>
      </w:pPr>
      <w:r>
        <w:t>EL10 : [Transition Graphique] Paramétrage des rôles : filtre des rôles par nom, option « N'afficher que les accès accordés », blocs pliables avec « Tout déplier / Tout replier », et compteur des modifications en attente sur le bouton d'enregistrement [Pas de Mantis]</w:t>
      </w:r>
    </w:p>
    <w:p>
      <w:r>
        <w:t>Paramétrage des rôles : la liste des rôles se filtre par nom ; l'onglet des accès menu propose une option « N'afficher que les accès accordés » ; les rubriques de menu, groupes d'actions et pages à sous-menus sont pliables, avec des boutons « Tout déplier » / « Tout replier » par onglet — les rubriques de menu et les groupes d'actions s'affichent repliés, sauf si l'utilisateur active l'option « Blocs dépliés à l'affichage d'un rôle », proposée directement dans la fiche du rôle, à droite des onglets ; le bouton d'enregistrement affiche le nombre de modifications en attente d'enregistrement</w:t>
      </w:r>
    </w:p>
    <w:p>
      <w:r>
        <w:drawing>
          <wp:inline xmlns:a="http://schemas.openxmlformats.org/drawingml/2006/main" xmlns:pic="http://schemas.openxmlformats.org/drawingml/2006/picture">
            <wp:extent cx="5762625" cy="2816275"/>
            <wp:docPr id="1669210089" name="Picture 1669210089" descr="EL10 - illustration 1"/>
            <wp:cNvGraphicFramePr>
              <a:graphicFrameLocks noChangeAspect="1"/>
            </wp:cNvGraphicFramePr>
            <a:graphic>
              <a:graphicData uri="http://schemas.openxmlformats.org/drawingml/2006/picture">
                <pic:pic>
                  <pic:nvPicPr>
                    <pic:cNvPr id="0" name="6-0_011.png"/>
                    <pic:cNvPicPr/>
                  </pic:nvPicPr>
                  <pic:blipFill>
                    <a:blip r:embed="rId28"/>
                    <a:stretch>
                      <a:fillRect/>
                    </a:stretch>
                  </pic:blipFill>
                  <pic:spPr>
                    <a:xfrm>
                      <a:off x="0" y="0"/>
                      <a:ext cx="5762625" cy="2816275"/>
                    </a:xfrm>
                    <a:prstGeom prst="rect"/>
                  </pic:spPr>
                </pic:pic>
              </a:graphicData>
            </a:graphic>
          </wp:inline>
        </w:drawing>
      </w:r>
    </w:p>
    <w:p>
      <w:r>
        <w:t>Voir la documentation sur la Refonte graphique (https://geef-virtualia.github.io/geef-docs/Note-de-Version/refonte_graphique/).</w:t>
      </w:r>
    </w:p>
    <w:p>
      <w:pPr>
        <w:pStyle w:val="Titre2"/>
      </w:pPr>
      <w:r>
        <w:t>EL11 : [Transition Graphique] Création d'un rôle : il s'ouvre dans la fiche, tous accès refusés, et se paramètre avant le premier enregistrement. La duplication reprend le nom suivi de « copie » ; un rôle encore attribué ne peut plus être supprimé [Pas de Mantis]</w:t>
      </w:r>
    </w:p>
    <w:p>
      <w:r>
        <w:t>Création d'un rôle : le nouveau rôle s'ouvre directement dans la fiche, en mode « En cours de création », avec tous les accès refusés par défaut, et se paramètre entièrement avant son premier enregistrement (le nom est obligatoire). La duplication d'un rôle reprend son nom suivi de « copie ». La suppression d'un rôle encore attribué à des utilisateurs n'est plus proposée : le bouton est remplacé par une mention explicative, là où elle était auparavant possible</w:t>
      </w:r>
    </w:p>
    <w:p>
      <w:r>
        <w:drawing>
          <wp:inline xmlns:a="http://schemas.openxmlformats.org/drawingml/2006/main" xmlns:pic="http://schemas.openxmlformats.org/drawingml/2006/picture">
            <wp:extent cx="5762625" cy="2855681"/>
            <wp:docPr id="1669210090" name="Picture 1669210090" descr="EL11 - illustration 1"/>
            <wp:cNvGraphicFramePr>
              <a:graphicFrameLocks noChangeAspect="1"/>
            </wp:cNvGraphicFramePr>
            <a:graphic>
              <a:graphicData uri="http://schemas.openxmlformats.org/drawingml/2006/picture">
                <pic:pic>
                  <pic:nvPicPr>
                    <pic:cNvPr id="0" name="6-0_012.png"/>
                    <pic:cNvPicPr/>
                  </pic:nvPicPr>
                  <pic:blipFill>
                    <a:blip r:embed="rId29"/>
                    <a:stretch>
                      <a:fillRect/>
                    </a:stretch>
                  </pic:blipFill>
                  <pic:spPr>
                    <a:xfrm>
                      <a:off x="0" y="0"/>
                      <a:ext cx="5762625" cy="2855681"/>
                    </a:xfrm>
                    <a:prstGeom prst="rect"/>
                  </pic:spPr>
                </pic:pic>
              </a:graphicData>
            </a:graphic>
          </wp:inline>
        </w:drawing>
      </w:r>
    </w:p>
    <w:p>
      <w:r>
        <w:t>Voir la documentation sur la Refonte graphique (https://geef-virtualia.github.io/geef-docs/Note-de-Version/refonte_graphique/).</w:t>
      </w:r>
    </w:p>
    <w:p>
      <w:pPr>
        <w:pStyle w:val="Titre2"/>
      </w:pPr>
      <w:r>
        <w:t>EL12 : [Transition Graphique] Nouveau design de l'écran « Outils &gt; Optimisation BD » : rubriques à gauche, détail à droite, filtre unique, traitements en blocs pliables avec durée et date de dernière exécution, barre de progression des calculs et état des services par pastille [Mantis #19837]</w:t>
      </w:r>
    </w:p>
    <w:p>
      <w:r>
        <w:t>L'écran « Outils &gt; Optimisation BD » a un nouveau design : les rubriques (État des tables de calcul, Fichiers à importer, Services et Actions) sont listées à gauche et leur détail s'affiche à droite, avec un filtre unique portant sur les rubriques et leurs lignes. Les traitements sont regroupés en blocs pliables ; chaque ligne indique la durée et la date de sa dernière exécution, désormais conservées d'un redémarrage à l'autre, et un calcul en cours affiche une barre de progression. Les paramètres de la progression FMPA sont modifiables depuis l'état des tables, les fichiers de référence sont présentés par famille et l'état des services est signalé par une pastille verte ou rouge.</w:t>
      </w:r>
    </w:p>
    <w:p>
      <w:r>
        <w:drawing>
          <wp:inline xmlns:a="http://schemas.openxmlformats.org/drawingml/2006/main" xmlns:pic="http://schemas.openxmlformats.org/drawingml/2006/picture">
            <wp:extent cx="5762625" cy="2786025"/>
            <wp:docPr id="1669210091" name="Picture 1669210091" descr="EL12 - illustration 1"/>
            <wp:cNvGraphicFramePr>
              <a:graphicFrameLocks noChangeAspect="1"/>
            </wp:cNvGraphicFramePr>
            <a:graphic>
              <a:graphicData uri="http://schemas.openxmlformats.org/drawingml/2006/picture">
                <pic:pic>
                  <pic:nvPicPr>
                    <pic:cNvPr id="0" name="6-0_013.png"/>
                    <pic:cNvPicPr/>
                  </pic:nvPicPr>
                  <pic:blipFill>
                    <a:blip r:embed="rId30"/>
                    <a:stretch>
                      <a:fillRect/>
                    </a:stretch>
                  </pic:blipFill>
                  <pic:spPr>
                    <a:xfrm>
                      <a:off x="0" y="0"/>
                      <a:ext cx="5762625" cy="2786025"/>
                    </a:xfrm>
                    <a:prstGeom prst="rect"/>
                  </pic:spPr>
                </pic:pic>
              </a:graphicData>
            </a:graphic>
          </wp:inline>
        </w:drawing>
      </w:r>
    </w:p>
    <w:p>
      <w:r>
        <w:t>Voir la documentation sur la Refonte graphique (https://geef-virtualia.github.io/geef-docs/Note-de-Version/refonte_graphique/).</w:t>
      </w:r>
    </w:p>
    <w:p>
      <w:pPr>
        <w:pStyle w:val="Titre2"/>
      </w:pPr>
      <w:r>
        <w:t>EL13 : [Accessibilité] Amélioration de l'accessibilité des écrans pour les utilisateurs de lecteurs d'écran et de navigation au clavier (alternatives textuelles des images, noms accessibles des boutons et des cadres, titre de page propre à chaque écran, mise en page sans sauts de ligne répétés). [Pas de Mantis]</w:t>
      </w:r>
    </w:p>
    <w:p>
      <w:r>
        <w:t>Point technique ayant un impact sur le formatage technique des objets (invisible à l’écran, sauf avec un lecteur).</w:t>
      </w:r>
    </w:p>
    <w:p>
      <w:r>
        <w:t>Exemple : texte alternatif sur le bouton d’accueil :</w:t>
      </w:r>
    </w:p>
    <w:p>
      <w:r>
        <w:drawing>
          <wp:inline xmlns:a="http://schemas.openxmlformats.org/drawingml/2006/main" xmlns:pic="http://schemas.openxmlformats.org/drawingml/2006/picture">
            <wp:extent cx="1666875" cy="819150"/>
            <wp:docPr id="1669210092" name="Picture 1669210092" descr="EL13 - illustration 1"/>
            <wp:cNvGraphicFramePr>
              <a:graphicFrameLocks noChangeAspect="1"/>
            </wp:cNvGraphicFramePr>
            <a:graphic>
              <a:graphicData uri="http://schemas.openxmlformats.org/drawingml/2006/picture">
                <pic:pic>
                  <pic:nvPicPr>
                    <pic:cNvPr id="0" name="6-0_014.png"/>
                    <pic:cNvPicPr/>
                  </pic:nvPicPr>
                  <pic:blipFill>
                    <a:blip r:embed="rId31"/>
                    <a:stretch>
                      <a:fillRect/>
                    </a:stretch>
                  </pic:blipFill>
                  <pic:spPr>
                    <a:xfrm>
                      <a:off x="0" y="0"/>
                      <a:ext cx="1666875" cy="819150"/>
                    </a:xfrm>
                    <a:prstGeom prst="rect"/>
                  </pic:spPr>
                </pic:pic>
              </a:graphicData>
            </a:graphic>
          </wp:inline>
        </w:drawing>
      </w:r>
    </w:p>
    <w:p>
      <w:pPr>
        <w:pStyle w:val="Titre2"/>
      </w:pPr>
      <w:r>
        <w:t>EL14 : [Accessibilité] Le paramètre "Graphismes - Couleur de Style" signale désormais une couleur au contraste insuffisant pour le RGAA et propose d'appliquer d'un clic une couleur conforme de même teinte [Pas de Mantis]</w:t>
      </w:r>
    </w:p>
    <w:p>
      <w:r>
        <w:drawing>
          <wp:inline xmlns:a="http://schemas.openxmlformats.org/drawingml/2006/main" xmlns:pic="http://schemas.openxmlformats.org/drawingml/2006/picture">
            <wp:extent cx="5762625" cy="2691453"/>
            <wp:docPr id="1669210093" name="Picture 1669210093" descr="EL14 - illustration 1"/>
            <wp:cNvGraphicFramePr>
              <a:graphicFrameLocks noChangeAspect="1"/>
            </wp:cNvGraphicFramePr>
            <a:graphic>
              <a:graphicData uri="http://schemas.openxmlformats.org/drawingml/2006/picture">
                <pic:pic>
                  <pic:nvPicPr>
                    <pic:cNvPr id="0" name="6-0_015.png"/>
                    <pic:cNvPicPr/>
                  </pic:nvPicPr>
                  <pic:blipFill>
                    <a:blip r:embed="rId32"/>
                    <a:stretch>
                      <a:fillRect/>
                    </a:stretch>
                  </pic:blipFill>
                  <pic:spPr>
                    <a:xfrm>
                      <a:off x="0" y="0"/>
                      <a:ext cx="5762625" cy="2691453"/>
                    </a:xfrm>
                    <a:prstGeom prst="rect"/>
                  </pic:spPr>
                </pic:pic>
              </a:graphicData>
            </a:graphic>
          </wp:inline>
        </w:drawing>
      </w:r>
    </w:p>
    <w:p>
      <w:pPr>
        <w:pStyle w:val="Titre2"/>
      </w:pPr>
      <w:r>
        <w:t>EL15 : [Accessibilité] Ajout d'un lien d'évitement permettant d'accéder directement au contenu de la page, et balisage de la navigation et du contenu principal pour les technologies d'assistance [Pas de Mantis]</w:t>
      </w:r>
    </w:p>
    <w:p>
      <w:r>
        <w:t>Lien d'évitement affiché à la première tabulation :</w:t>
      </w:r>
    </w:p>
    <w:p>
      <w:r>
        <w:drawing>
          <wp:inline xmlns:a="http://schemas.openxmlformats.org/drawingml/2006/main" xmlns:pic="http://schemas.openxmlformats.org/drawingml/2006/picture">
            <wp:extent cx="5762625" cy="1408642"/>
            <wp:docPr id="1669210094" name="Picture 1669210094" descr="EL15 - illustration 1"/>
            <wp:cNvGraphicFramePr>
              <a:graphicFrameLocks noChangeAspect="1"/>
            </wp:cNvGraphicFramePr>
            <a:graphic>
              <a:graphicData uri="http://schemas.openxmlformats.org/drawingml/2006/picture">
                <pic:pic>
                  <pic:nvPicPr>
                    <pic:cNvPr id="0" name="6-0_016.png"/>
                    <pic:cNvPicPr/>
                  </pic:nvPicPr>
                  <pic:blipFill>
                    <a:blip r:embed="rId33"/>
                    <a:stretch>
                      <a:fillRect/>
                    </a:stretch>
                  </pic:blipFill>
                  <pic:spPr>
                    <a:xfrm>
                      <a:off x="0" y="0"/>
                      <a:ext cx="5762625" cy="1408642"/>
                    </a:xfrm>
                    <a:prstGeom prst="rect"/>
                  </pic:spPr>
                </pic:pic>
              </a:graphicData>
            </a:graphic>
          </wp:inline>
        </w:drawing>
      </w:r>
    </w:p>
    <w:p>
      <w:pPr>
        <w:pStyle w:val="Titre2"/>
      </w:pPr>
      <w:r>
        <w:t>EL16 : [Accessibilité] Icônes vectorielles : nettes à tout niveau de zoom, colorées selon leur contexte et visibles en contraste élevé. Le paramètre « Graphismes - Jeu d'icones » est retiré ; les instances sur les anciennes icônes basculent à la mise à jour [Pas de Mantis]</w:t>
      </w:r>
    </w:p>
    <w:p>
      <w:r>
        <w:t>Les icônes de l'application deviennent vectorielles : elles restent nettes quel que soit le niveau de zoom, prennent la couleur de leur contexte (survol, désactivé, thème) et restent visibles en mode contraste élevé. Le jeu d'icônes vectoriel devient le seul proposé : le paramètre « Graphismes - Jeu d'icones » est retiré, et une instance encore réglée sur les anciennes icônes bitmap passe automatiquement aux icônes vectorielles à la mise à jour. Une nouvelle version des icônes est prise en compte par le navigateur dès sa livraison, sans icône vide ni vidage du cache</w:t>
      </w:r>
    </w:p>
    <w:p>
      <w:r>
        <w:t>Icônes vectorielles agrandies (×3) : le tracé reste net :</w:t>
      </w:r>
    </w:p>
    <w:p>
      <w:r>
        <w:drawing>
          <wp:inline xmlns:a="http://schemas.openxmlformats.org/drawingml/2006/main" xmlns:pic="http://schemas.openxmlformats.org/drawingml/2006/picture">
            <wp:extent cx="5762625" cy="885088"/>
            <wp:docPr id="1669210095" name="Picture 1669210095" descr="EL16 - illustration 1"/>
            <wp:cNvGraphicFramePr>
              <a:graphicFrameLocks noChangeAspect="1"/>
            </wp:cNvGraphicFramePr>
            <a:graphic>
              <a:graphicData uri="http://schemas.openxmlformats.org/drawingml/2006/picture">
                <pic:pic>
                  <pic:nvPicPr>
                    <pic:cNvPr id="0" name="6-0_017.png"/>
                    <pic:cNvPicPr/>
                  </pic:nvPicPr>
                  <pic:blipFill>
                    <a:blip r:embed="rId34"/>
                    <a:stretch>
                      <a:fillRect/>
                    </a:stretch>
                  </pic:blipFill>
                  <pic:spPr>
                    <a:xfrm>
                      <a:off x="0" y="0"/>
                      <a:ext cx="5762625" cy="885088"/>
                    </a:xfrm>
                    <a:prstGeom prst="rect"/>
                  </pic:spPr>
                </pic:pic>
              </a:graphicData>
            </a:graphic>
          </wp:inline>
        </w:drawing>
      </w:r>
    </w:p>
    <w:p>
      <w:pPr>
        <w:pStyle w:val="Titre2"/>
      </w:pPr>
      <w:r>
        <w:t>EL17 : [Accessibilité] Ajout d'un mode contraste élevé directement activable depuis la mire de connexion ou depuis les préférences utilisateur. [Pas de Mantis]</w:t>
      </w:r>
    </w:p>
    <w:p>
      <w:r>
        <w:t>Sur l'écran de connexion :</w:t>
      </w:r>
    </w:p>
    <w:p>
      <w:r>
        <w:drawing>
          <wp:inline xmlns:a="http://schemas.openxmlformats.org/drawingml/2006/main" xmlns:pic="http://schemas.openxmlformats.org/drawingml/2006/picture">
            <wp:extent cx="5762625" cy="4097867"/>
            <wp:docPr id="1669210096" name="Picture 1669210096" descr="EL17 - illustration 1"/>
            <wp:cNvGraphicFramePr>
              <a:graphicFrameLocks noChangeAspect="1"/>
            </wp:cNvGraphicFramePr>
            <a:graphic>
              <a:graphicData uri="http://schemas.openxmlformats.org/drawingml/2006/picture">
                <pic:pic>
                  <pic:nvPicPr>
                    <pic:cNvPr id="0" name="6-0_018.png"/>
                    <pic:cNvPicPr/>
                  </pic:nvPicPr>
                  <pic:blipFill>
                    <a:blip r:embed="rId35"/>
                    <a:stretch>
                      <a:fillRect/>
                    </a:stretch>
                  </pic:blipFill>
                  <pic:spPr>
                    <a:xfrm>
                      <a:off x="0" y="0"/>
                      <a:ext cx="5762625" cy="4097867"/>
                    </a:xfrm>
                    <a:prstGeom prst="rect"/>
                  </pic:spPr>
                </pic:pic>
              </a:graphicData>
            </a:graphic>
          </wp:inline>
        </w:drawing>
      </w:r>
    </w:p>
    <w:p>
      <w:r>
        <w:t>Dans l'espace « Préférences » :</w:t>
      </w:r>
    </w:p>
    <w:p>
      <w:r>
        <w:drawing>
          <wp:inline xmlns:a="http://schemas.openxmlformats.org/drawingml/2006/main" xmlns:pic="http://schemas.openxmlformats.org/drawingml/2006/picture">
            <wp:extent cx="4286250" cy="2571750"/>
            <wp:docPr id="1669210097" name="Picture 1669210097" descr="EL17 - illustration 2"/>
            <wp:cNvGraphicFramePr>
              <a:graphicFrameLocks noChangeAspect="1"/>
            </wp:cNvGraphicFramePr>
            <a:graphic>
              <a:graphicData uri="http://schemas.openxmlformats.org/drawingml/2006/picture">
                <pic:pic>
                  <pic:nvPicPr>
                    <pic:cNvPr id="0" name="6-0_019.png"/>
                    <pic:cNvPicPr/>
                  </pic:nvPicPr>
                  <pic:blipFill>
                    <a:blip r:embed="rId36"/>
                    <a:stretch>
                      <a:fillRect/>
                    </a:stretch>
                  </pic:blipFill>
                  <pic:spPr>
                    <a:xfrm>
                      <a:off x="0" y="0"/>
                      <a:ext cx="4286250" cy="2571750"/>
                    </a:xfrm>
                    <a:prstGeom prst="rect"/>
                  </pic:spPr>
                </pic:pic>
              </a:graphicData>
            </a:graphic>
          </wp:inline>
        </w:drawing>
      </w:r>
    </w:p>
    <w:p>
      <w:r>
        <w:t>Rendu d'un écran avec le contraste élevé (bordures des champs et des boutons, liens soulignés) :</w:t>
      </w:r>
    </w:p>
    <w:p>
      <w:r>
        <w:drawing>
          <wp:inline xmlns:a="http://schemas.openxmlformats.org/drawingml/2006/main" xmlns:pic="http://schemas.openxmlformats.org/drawingml/2006/picture">
            <wp:extent cx="5762625" cy="3314474"/>
            <wp:docPr id="1669210098" name="Picture 1669210098" descr="EL17 - illustration 3"/>
            <wp:cNvGraphicFramePr>
              <a:graphicFrameLocks noChangeAspect="1"/>
            </wp:cNvGraphicFramePr>
            <a:graphic>
              <a:graphicData uri="http://schemas.openxmlformats.org/drawingml/2006/picture">
                <pic:pic>
                  <pic:nvPicPr>
                    <pic:cNvPr id="0" name="6-0_020.png"/>
                    <pic:cNvPicPr/>
                  </pic:nvPicPr>
                  <pic:blipFill>
                    <a:blip r:embed="rId37"/>
                    <a:stretch>
                      <a:fillRect/>
                    </a:stretch>
                  </pic:blipFill>
                  <pic:spPr>
                    <a:xfrm>
                      <a:off x="0" y="0"/>
                      <a:ext cx="5762625" cy="3314474"/>
                    </a:xfrm>
                    <a:prstGeom prst="rect"/>
                  </pic:spPr>
                </pic:pic>
              </a:graphicData>
            </a:graphic>
          </wp:inline>
        </w:drawing>
      </w:r>
    </w:p>
    <w:p>
      <w:pPr>
        <w:pStyle w:val="Titre2"/>
      </w:pPr>
      <w:r>
        <w:t>CL01A : Correction d'un blocage de compte à la connexion des utilisateurs dont le mot de passe, enregistré dans un ancien format et contenant des accents, pouvait être rejeté à tort selon le jeu de caractères du serveur [Mantis #19533]</w:t>
      </w:r>
    </w:p>
    <w:p>
      <w:r>
        <w:t>Correction d'un blocage de compte pouvant survenir à la connexion des utilisateurs dont le mot de passe était encore enregistré dans un ancien format (antérieur au format actuel) : lorsqu'il contenait des caractères accentués, il pouvait être rejeté à tort selon le jeu de caractères du serveur et, après plusieurs tentatives infructueuses, entraîner le blocage du compte ; la vérification de ces anciens formats tolère désormais les différents jeux de caractères</w:t>
      </w:r>
    </w:p>
    <w:p>
      <w:r>
        <w:t>Lors de la réinitialisation du mot de passe, l’utilisateur pouvait bloquer son compte dans certains cas :</w:t>
      </w:r>
    </w:p>
    <w:p>
      <w:r>
        <w:drawing>
          <wp:inline xmlns:a="http://schemas.openxmlformats.org/drawingml/2006/main" xmlns:pic="http://schemas.openxmlformats.org/drawingml/2006/picture">
            <wp:extent cx="5762625" cy="1262657"/>
            <wp:docPr id="1669210099" name="Picture 1669210099" descr="CL01A - illustration 1"/>
            <wp:cNvGraphicFramePr>
              <a:graphicFrameLocks noChangeAspect="1"/>
            </wp:cNvGraphicFramePr>
            <a:graphic>
              <a:graphicData uri="http://schemas.openxmlformats.org/drawingml/2006/picture">
                <pic:pic>
                  <pic:nvPicPr>
                    <pic:cNvPr id="0" name="6-0_021.png"/>
                    <pic:cNvPicPr/>
                  </pic:nvPicPr>
                  <pic:blipFill>
                    <a:blip r:embed="rId39"/>
                    <a:stretch>
                      <a:fillRect/>
                    </a:stretch>
                  </pic:blipFill>
                  <pic:spPr>
                    <a:xfrm>
                      <a:off x="0" y="0"/>
                      <a:ext cx="5762625" cy="1262657"/>
                    </a:xfrm>
                    <a:prstGeom prst="rect"/>
                  </pic:spPr>
                </pic:pic>
              </a:graphicData>
            </a:graphic>
          </wp:inline>
        </w:drawing>
      </w:r>
    </w:p>
    <w:p>
      <w:pPr>
        <w:pStyle w:val="Titre2"/>
      </w:pPr>
      <w:r>
        <w:t>CL01B : La réinitialisation d'un mot de passe par un gestionnaire impose désormais son renouvellement par l'utilisateur lors de sa connexion suivante [Mantis #19533]</w:t>
      </w:r>
    </w:p>
    <w:p>
      <w:r>
        <w:t>Écran de réinitialisation du mot de passe d'un autre utilisateur :</w:t>
      </w:r>
    </w:p>
    <w:p>
      <w:r>
        <w:drawing>
          <wp:inline xmlns:a="http://schemas.openxmlformats.org/drawingml/2006/main" xmlns:pic="http://schemas.openxmlformats.org/drawingml/2006/picture">
            <wp:extent cx="5762625" cy="1262657"/>
            <wp:docPr id="1669210100" name="Picture 1669210100" descr="CL01B - illustration 1"/>
            <wp:cNvGraphicFramePr>
              <a:graphicFrameLocks noChangeAspect="1"/>
            </wp:cNvGraphicFramePr>
            <a:graphic>
              <a:graphicData uri="http://schemas.openxmlformats.org/drawingml/2006/picture">
                <pic:pic>
                  <pic:nvPicPr>
                    <pic:cNvPr id="0" name="6-0_021.png"/>
                    <pic:cNvPicPr/>
                  </pic:nvPicPr>
                  <pic:blipFill>
                    <a:blip r:embed="rId39"/>
                    <a:stretch>
                      <a:fillRect/>
                    </a:stretch>
                  </pic:blipFill>
                  <pic:spPr>
                    <a:xfrm>
                      <a:off x="0" y="0"/>
                      <a:ext cx="5762625" cy="1262657"/>
                    </a:xfrm>
                    <a:prstGeom prst="rect"/>
                  </pic:spPr>
                </pic:pic>
              </a:graphicData>
            </a:graphic>
          </wp:inline>
        </w:drawing>
      </w:r>
    </w:p>
    <w:p>
      <w:pPr>
        <w:pStyle w:val="Titre2"/>
      </w:pPr>
      <w:r>
        <w:t>CL01C : Correction de l'indicateur visuel de robustesse du mot de passe (écran de changement/renouvellement) qui pouvait rester figé et ne reflétait pas la politique de complexité réellement appliquée [Mantis #19533]</w:t>
      </w:r>
    </w:p>
    <w:p>
      <w:r>
        <w:drawing>
          <wp:inline xmlns:a="http://schemas.openxmlformats.org/drawingml/2006/main" xmlns:pic="http://schemas.openxmlformats.org/drawingml/2006/picture">
            <wp:extent cx="5762625" cy="2160984"/>
            <wp:docPr id="1669210101" name="Picture 1669210101" descr="CL01C - illustration 1"/>
            <wp:cNvGraphicFramePr>
              <a:graphicFrameLocks noChangeAspect="1"/>
            </wp:cNvGraphicFramePr>
            <a:graphic>
              <a:graphicData uri="http://schemas.openxmlformats.org/drawingml/2006/picture">
                <pic:pic>
                  <pic:nvPicPr>
                    <pic:cNvPr id="0" name="6-0_023.png"/>
                    <pic:cNvPicPr/>
                  </pic:nvPicPr>
                  <pic:blipFill>
                    <a:blip r:embed="rId40"/>
                    <a:stretch>
                      <a:fillRect/>
                    </a:stretch>
                  </pic:blipFill>
                  <pic:spPr>
                    <a:xfrm>
                      <a:off x="0" y="0"/>
                      <a:ext cx="5762625" cy="2160984"/>
                    </a:xfrm>
                    <a:prstGeom prst="rect"/>
                  </pic:spPr>
                </pic:pic>
              </a:graphicData>
            </a:graphic>
          </wp:inline>
        </w:drawing>
      </w:r>
    </w:p>
    <w:p>
      <w:pPr>
        <w:pStyle w:val="Titre2"/>
      </w:pPr>
      <w:r>
        <w:t>CL02 : Correction de l'affichage des montants et des nombres arrondis dans l'ensemble de l'application : au-delà d'environ dix millions, la valeur affichée pouvait être tronquée (par exemple "1,23" à la place de "12345678,90") voire plafonnée ; le formatage est désormais exact quel que soit l'ordre de grandeur [Pas de Mantis]</w:t>
      </w:r>
    </w:p>
    <w:p>
      <w:r>
        <w:t xml:space="preserve">Exemple : prime de 2 000 000 000,00 € </w:t>
      </w:r>
    </w:p>
    <w:p>
      <w:r>
        <w:drawing>
          <wp:inline xmlns:a="http://schemas.openxmlformats.org/drawingml/2006/main" xmlns:pic="http://schemas.openxmlformats.org/drawingml/2006/picture">
            <wp:extent cx="5762625" cy="944890"/>
            <wp:docPr id="1669210102" name="Picture 1669210102" descr="CL02 - illustration 1"/>
            <wp:cNvGraphicFramePr>
              <a:graphicFrameLocks noChangeAspect="1"/>
            </wp:cNvGraphicFramePr>
            <a:graphic>
              <a:graphicData uri="http://schemas.openxmlformats.org/drawingml/2006/picture">
                <pic:pic>
                  <pic:nvPicPr>
                    <pic:cNvPr id="0" name="6-0_024.png"/>
                    <pic:cNvPicPr/>
                  </pic:nvPicPr>
                  <pic:blipFill>
                    <a:blip r:embed="rId41"/>
                    <a:stretch>
                      <a:fillRect/>
                    </a:stretch>
                  </pic:blipFill>
                  <pic:spPr>
                    <a:xfrm>
                      <a:off x="0" y="0"/>
                      <a:ext cx="5762625" cy="944890"/>
                    </a:xfrm>
                    <a:prstGeom prst="rect"/>
                  </pic:spPr>
                </pic:pic>
              </a:graphicData>
            </a:graphic>
          </wp:inline>
        </w:drawing>
      </w:r>
    </w:p>
    <w:p>
      <w:pPr>
        <w:pStyle w:val="Titre2"/>
      </w:pPr>
      <w:r>
        <w:t>CL03 : Renforcement de la sécurité des requêtes d'accès aux données sur plusieurs écrans : les valeurs transmises par les formulaires et les adresses y sont désormais systématiquement contrôlées avant d'être utilisées. Aucun changement de comportement pour l'utilisateur [Pas de Mantis]</w:t>
      </w:r>
    </w:p>
    <w:p>
      <w:r>
        <w:t>Point technique de renforcement de la sécurité.</w:t>
      </w:r>
    </w:p>
    <w:p>
      <w:pPr>
        <w:pStyle w:val="Titre2"/>
      </w:pPr>
      <w:r>
        <w:t>CL04 : Renforcement de l'étanchéité entre clients en multi-tenant : sessions, droits, journaux, exports d'interfaces et traitements automatiques sont cloisonnés par client. À la mise à jour, les utilisateurs connectés devront se reconnecter une fois [Pas de Mantis]</w:t>
      </w:r>
    </w:p>
    <w:p>
      <w:r>
        <w:t>Renforcement de l'étanchéité entre clients en mode multi-tenant. Une session ouverte chez un client ne peut plus être utilisée chez un autre. Les sessions, les droits et les journaux d'un client ne sont plus visibles depuis un autre. Les exports des interfaces sortantes sont désormais rangés et servis séparément pour chaque client, et leur téléchargement exige d'être connecté. Plusieurs traitements automatiques (envoi de SMS, intégrations, calculs planifiés) ne peuvent plus appliquer le paramétrage d'un autre client. En cas d'indisponibilité de la base centrale, aucun client n'est plus servi par erreur sur la base principale. À la mise à jour, les utilisateurs connectés devront se reconnecter une fois</w:t>
      </w:r>
    </w:p>
    <w:p>
      <w:r>
        <w:t>Point technique concernant les hébergements SaaS.</w:t>
      </w:r>
    </w:p>
    <w:p>
      <w:pPr>
        <w:pStyle w:val="Titre2"/>
      </w:pPr>
      <w:r>
        <w:t>CL05 : [Accessibilité] Les textes clignotants des écrans d'extraction et des interfaces sortantes utilisaient une balise obsolète ; ils sont remplacés par une animation conforme [Pas de Mantis]</w:t>
      </w:r>
    </w:p>
    <w:p>
      <w:r>
        <w:drawing>
          <wp:inline xmlns:a="http://schemas.openxmlformats.org/drawingml/2006/main" xmlns:pic="http://schemas.openxmlformats.org/drawingml/2006/picture">
            <wp:extent cx="5762625" cy="1981280"/>
            <wp:docPr id="1669210103" name="Picture 1669210103" descr="CL05 - illustration 1"/>
            <wp:cNvGraphicFramePr>
              <a:graphicFrameLocks noChangeAspect="1"/>
            </wp:cNvGraphicFramePr>
            <a:graphic>
              <a:graphicData uri="http://schemas.openxmlformats.org/drawingml/2006/picture">
                <pic:pic>
                  <pic:nvPicPr>
                    <pic:cNvPr id="0" name="6-0_025.png"/>
                    <pic:cNvPicPr/>
                  </pic:nvPicPr>
                  <pic:blipFill>
                    <a:blip r:embed="rId42"/>
                    <a:stretch>
                      <a:fillRect/>
                    </a:stretch>
                  </pic:blipFill>
                  <pic:spPr>
                    <a:xfrm>
                      <a:off x="0" y="0"/>
                      <a:ext cx="5762625" cy="1981280"/>
                    </a:xfrm>
                    <a:prstGeom prst="rect"/>
                  </pic:spPr>
                </pic:pic>
              </a:graphicData>
            </a:graphic>
          </wp:inline>
        </w:drawing>
      </w:r>
    </w:p>
    <w:p>
      <w:r>
        <w:t>Le texte clignotant utilisait des balises HTML désuètes, le texte redevient à nouveau clignotant avec un effet plus doux.</w:t>
      </w:r>
    </w:p>
    <w:p>
      <w:pPr>
        <w:pStyle w:val="Titre2"/>
      </w:pPr>
      <w:r>
        <w:t>CL06 : [Accessibilité] Au survol, le libellé et l'icône des boutons secondaires (« Nouveau », « Tout déplier », « Tout replier »…) passaient en blanc sur un fond gris clair, au contraste très insuffisant ; ils restent désormais sombres, et l'icône d'un bouton survolé prend toujours la couleur de son libellé [Pas de Mantis]</w:t>
      </w:r>
    </w:p>
    <w:p>
      <w:r>
        <w:t xml:space="preserve">Avant correction : </w:t>
      </w:r>
      <w:r>
        <w:drawing>
          <wp:inline xmlns:a="http://schemas.openxmlformats.org/drawingml/2006/main" xmlns:pic="http://schemas.openxmlformats.org/drawingml/2006/picture">
            <wp:extent cx="1200150" cy="630459"/>
            <wp:docPr id="1669210104" name="Picture 1669210104" descr="CL06 - illustration 1"/>
            <wp:cNvGraphicFramePr>
              <a:graphicFrameLocks noChangeAspect="1"/>
            </wp:cNvGraphicFramePr>
            <a:graphic>
              <a:graphicData uri="http://schemas.openxmlformats.org/drawingml/2006/picture">
                <pic:pic>
                  <pic:nvPicPr>
                    <pic:cNvPr id="0" name="6-0_026.png"/>
                    <pic:cNvPicPr/>
                  </pic:nvPicPr>
                  <pic:blipFill>
                    <a:blip r:embed="rId43"/>
                    <a:stretch>
                      <a:fillRect/>
                    </a:stretch>
                  </pic:blipFill>
                  <pic:spPr>
                    <a:xfrm>
                      <a:off x="0" y="0"/>
                      <a:ext cx="1200150" cy="630459"/>
                    </a:xfrm>
                    <a:prstGeom prst="rect"/>
                  </pic:spPr>
                </pic:pic>
              </a:graphicData>
            </a:graphic>
          </wp:inline>
        </w:drawing>
      </w:r>
    </w:p>
    <w:p>
      <w:r>
        <w:t xml:space="preserve">Après correction : </w:t>
      </w:r>
      <w:r>
        <w:drawing>
          <wp:inline xmlns:a="http://schemas.openxmlformats.org/drawingml/2006/main" xmlns:pic="http://schemas.openxmlformats.org/drawingml/2006/picture">
            <wp:extent cx="1085850" cy="379668"/>
            <wp:docPr id="1669210105" name="Picture 1669210105" descr="CL06 - illustration 2"/>
            <wp:cNvGraphicFramePr>
              <a:graphicFrameLocks noChangeAspect="1"/>
            </wp:cNvGraphicFramePr>
            <a:graphic>
              <a:graphicData uri="http://schemas.openxmlformats.org/drawingml/2006/picture">
                <pic:pic>
                  <pic:nvPicPr>
                    <pic:cNvPr id="0" name="6-0_027.png"/>
                    <pic:cNvPicPr/>
                  </pic:nvPicPr>
                  <pic:blipFill>
                    <a:blip r:embed="rId44"/>
                    <a:stretch>
                      <a:fillRect/>
                    </a:stretch>
                  </pic:blipFill>
                  <pic:spPr>
                    <a:xfrm>
                      <a:off x="0" y="0"/>
                      <a:ext cx="1085850" cy="379668"/>
                    </a:xfrm>
                    <a:prstGeom prst="rect"/>
                  </pic:spPr>
                </pic:pic>
              </a:graphicData>
            </a:graphic>
          </wp:inline>
        </w:drawing>
      </w:r>
    </w:p>
    <w:p>
      <w:r>
        <w:br w:type="page"/>
      </w:r>
    </w:p>
    <w:p>
      <w:pPr>
        <w:pStyle w:val="Titre1"/>
      </w:pPr>
      <w:r>
        <w:t>GRH</w:t>
      </w:r>
    </w:p>
    <w:p>
      <w:pPr>
        <w:pStyle w:val="Titre2"/>
      </w:pPr>
      <w:r>
        <w:t>EH01 : Ajout du genre dans l'écran "GRH &gt; Outils/Risques &gt; Synthèses" [Mantis #19681]</w:t>
      </w:r>
    </w:p>
    <w:p>
      <w:r>
        <w:drawing>
          <wp:inline xmlns:a="http://schemas.openxmlformats.org/drawingml/2006/main" xmlns:pic="http://schemas.openxmlformats.org/drawingml/2006/picture">
            <wp:extent cx="5067300" cy="2921000"/>
            <wp:docPr id="1669210106" name="Picture 1669210106" descr="EH01 - illustration 1"/>
            <wp:cNvGraphicFramePr>
              <a:graphicFrameLocks noChangeAspect="1"/>
            </wp:cNvGraphicFramePr>
            <a:graphic>
              <a:graphicData uri="http://schemas.openxmlformats.org/drawingml/2006/picture">
                <pic:pic>
                  <pic:nvPicPr>
                    <pic:cNvPr id="0" name="6-0_028.png"/>
                    <pic:cNvPicPr/>
                  </pic:nvPicPr>
                  <pic:blipFill>
                    <a:blip r:embed="rId46"/>
                    <a:stretch>
                      <a:fillRect/>
                    </a:stretch>
                  </pic:blipFill>
                  <pic:spPr>
                    <a:xfrm>
                      <a:off x="0" y="0"/>
                      <a:ext cx="5067300" cy="2921000"/>
                    </a:xfrm>
                    <a:prstGeom prst="rect"/>
                  </pic:spPr>
                </pic:pic>
              </a:graphicData>
            </a:graphic>
          </wp:inline>
        </w:drawing>
      </w:r>
    </w:p>
    <w:p>
      <w:r>
        <w:t>Et export Excel :</w:t>
      </w:r>
    </w:p>
    <w:p>
      <w:r>
        <w:drawing>
          <wp:inline xmlns:a="http://schemas.openxmlformats.org/drawingml/2006/main" xmlns:pic="http://schemas.openxmlformats.org/drawingml/2006/picture">
            <wp:extent cx="3429000" cy="1263650"/>
            <wp:docPr id="1669210107" name="Picture 1669210107" descr="EH01 - illustration 2"/>
            <wp:cNvGraphicFramePr>
              <a:graphicFrameLocks noChangeAspect="1"/>
            </wp:cNvGraphicFramePr>
            <a:graphic>
              <a:graphicData uri="http://schemas.openxmlformats.org/drawingml/2006/picture">
                <pic:pic>
                  <pic:nvPicPr>
                    <pic:cNvPr id="0" name="6-0_029.png"/>
                    <pic:cNvPicPr/>
                  </pic:nvPicPr>
                  <pic:blipFill>
                    <a:blip r:embed="rId47"/>
                    <a:stretch>
                      <a:fillRect/>
                    </a:stretch>
                  </pic:blipFill>
                  <pic:spPr>
                    <a:xfrm>
                      <a:off x="0" y="0"/>
                      <a:ext cx="3429000" cy="1263650"/>
                    </a:xfrm>
                    <a:prstGeom prst="rect"/>
                  </pic:spPr>
                </pic:pic>
              </a:graphicData>
            </a:graphic>
          </wp:inline>
        </w:drawing>
      </w:r>
    </w:p>
    <w:p>
      <w:pPr>
        <w:pStyle w:val="Titre2"/>
      </w:pPr>
      <w:r>
        <w:t>EH02 : Ajout d'une clé de traduction spécifique "DATE_OBTENTION_PERMIS" pour la date d'obtention des permis civils [Mantis #19592]</w:t>
      </w:r>
    </w:p>
    <w:p>
      <w:r>
        <w:drawing>
          <wp:inline xmlns:a="http://schemas.openxmlformats.org/drawingml/2006/main" xmlns:pic="http://schemas.openxmlformats.org/drawingml/2006/picture">
            <wp:extent cx="3838575" cy="533842"/>
            <wp:docPr id="1669210108" name="Picture 1669210108" descr="EH02 - illustration 1"/>
            <wp:cNvGraphicFramePr>
              <a:graphicFrameLocks noChangeAspect="1"/>
            </wp:cNvGraphicFramePr>
            <a:graphic>
              <a:graphicData uri="http://schemas.openxmlformats.org/drawingml/2006/picture">
                <pic:pic>
                  <pic:nvPicPr>
                    <pic:cNvPr id="0" name="6-0_030.png"/>
                    <pic:cNvPicPr/>
                  </pic:nvPicPr>
                  <pic:blipFill>
                    <a:blip r:embed="rId48"/>
                    <a:stretch>
                      <a:fillRect/>
                    </a:stretch>
                  </pic:blipFill>
                  <pic:spPr>
                    <a:xfrm>
                      <a:off x="0" y="0"/>
                      <a:ext cx="3838575" cy="533842"/>
                    </a:xfrm>
                    <a:prstGeom prst="rect"/>
                  </pic:spPr>
                </pic:pic>
              </a:graphicData>
            </a:graphic>
          </wp:inline>
        </w:drawing>
      </w:r>
    </w:p>
    <w:p>
      <w:r>
        <w:drawing>
          <wp:inline xmlns:a="http://schemas.openxmlformats.org/drawingml/2006/main" xmlns:pic="http://schemas.openxmlformats.org/drawingml/2006/picture">
            <wp:extent cx="5762625" cy="1516673"/>
            <wp:docPr id="1669210109" name="Picture 1669210109" descr="EH02 - illustration 2"/>
            <wp:cNvGraphicFramePr>
              <a:graphicFrameLocks noChangeAspect="1"/>
            </wp:cNvGraphicFramePr>
            <a:graphic>
              <a:graphicData uri="http://schemas.openxmlformats.org/drawingml/2006/picture">
                <pic:pic>
                  <pic:nvPicPr>
                    <pic:cNvPr id="0" name="6-0_031.png"/>
                    <pic:cNvPicPr/>
                  </pic:nvPicPr>
                  <pic:blipFill>
                    <a:blip r:embed="rId49"/>
                    <a:stretch>
                      <a:fillRect/>
                    </a:stretch>
                  </pic:blipFill>
                  <pic:spPr>
                    <a:xfrm>
                      <a:off x="0" y="0"/>
                      <a:ext cx="5762625" cy="1516673"/>
                    </a:xfrm>
                    <a:prstGeom prst="rect"/>
                  </pic:spPr>
                </pic:pic>
              </a:graphicData>
            </a:graphic>
          </wp:inline>
        </w:drawing>
      </w:r>
    </w:p>
    <w:p>
      <w:pPr>
        <w:pStyle w:val="Titre2"/>
      </w:pPr>
      <w:r>
        <w:t>EH03 : Dans les listes de gestion (ex. "GRH &gt; Visites médicales &gt; Permis civils"), le tri d'une colonne agent, carrière ou stagiaire externe se fait par nom puis prénom (session : intitulé ; poste : intitulé), et le tri inversé porte sur tous les critères [Mantis #19619]</w:t>
      </w:r>
    </w:p>
    <w:p>
      <w:r>
        <w:t>Dans les listes de gestion (ex. "GRH &gt; Visites médicales &gt; Permis civils"), le clic sur l'en-tête d'une colonne désignant un agent, une carrière ou un stagiaire externe trie désormais par nom puis prénom (au lieu du numéro interne) ; même principe pour les colonnes de session de stage (tri par intitulé) et de poste budgétaire (tri par intitulé du poste). Le tri inversé (second clic) s'applique à tous les critères du tri, et non plus au seul dernier</w:t>
      </w:r>
    </w:p>
    <w:p>
      <w:r>
        <w:drawing>
          <wp:inline xmlns:a="http://schemas.openxmlformats.org/drawingml/2006/main" xmlns:pic="http://schemas.openxmlformats.org/drawingml/2006/picture">
            <wp:extent cx="5762625" cy="2842049"/>
            <wp:docPr id="1669210110" name="Picture 1669210110" descr="EH03 - illustration 1"/>
            <wp:cNvGraphicFramePr>
              <a:graphicFrameLocks noChangeAspect="1"/>
            </wp:cNvGraphicFramePr>
            <a:graphic>
              <a:graphicData uri="http://schemas.openxmlformats.org/drawingml/2006/picture">
                <pic:pic>
                  <pic:nvPicPr>
                    <pic:cNvPr id="0" name="6-0_032.png"/>
                    <pic:cNvPicPr/>
                  </pic:nvPicPr>
                  <pic:blipFill>
                    <a:blip r:embed="rId50"/>
                    <a:stretch>
                      <a:fillRect/>
                    </a:stretch>
                  </pic:blipFill>
                  <pic:spPr>
                    <a:xfrm>
                      <a:off x="0" y="0"/>
                      <a:ext cx="5762625" cy="2842049"/>
                    </a:xfrm>
                    <a:prstGeom prst="rect"/>
                  </pic:spPr>
                </pic:pic>
              </a:graphicData>
            </a:graphic>
          </wp:inline>
        </w:drawing>
      </w:r>
    </w:p>
    <w:p>
      <w:pPr>
        <w:pStyle w:val="Titre2"/>
      </w:pPr>
      <w:r>
        <w:t>EH04 : Transition graphique - Revue du design et de la disposition des informations de l'agent/de la carrière et de l'organisation des onglets des écrans de consultation du livret individuel ("GRH / Général &gt; Livrets individuels &gt; Détails des livrets individuels / agents" et "Libre-service / Général &gt; Mon Livret individuel &gt; Détails livret individuel") [Mantis #19887]</w:t>
      </w:r>
    </w:p>
    <w:p>
      <w:r>
        <w:drawing>
          <wp:inline xmlns:a="http://schemas.openxmlformats.org/drawingml/2006/main" xmlns:pic="http://schemas.openxmlformats.org/drawingml/2006/picture">
            <wp:extent cx="5762625" cy="3314474"/>
            <wp:docPr id="1669210111" name="Picture 1669210111" descr="EH04 - illustration 1"/>
            <wp:cNvGraphicFramePr>
              <a:graphicFrameLocks noChangeAspect="1"/>
            </wp:cNvGraphicFramePr>
            <a:graphic>
              <a:graphicData uri="http://schemas.openxmlformats.org/drawingml/2006/picture">
                <pic:pic>
                  <pic:nvPicPr>
                    <pic:cNvPr id="0" name="6-0_033.png"/>
                    <pic:cNvPicPr/>
                  </pic:nvPicPr>
                  <pic:blipFill>
                    <a:blip r:embed="rId51"/>
                    <a:stretch>
                      <a:fillRect/>
                    </a:stretch>
                  </pic:blipFill>
                  <pic:spPr>
                    <a:xfrm>
                      <a:off x="0" y="0"/>
                      <a:ext cx="5762625" cy="3314474"/>
                    </a:xfrm>
                    <a:prstGeom prst="rect"/>
                  </pic:spPr>
                </pic:pic>
              </a:graphicData>
            </a:graphic>
          </wp:inline>
        </w:drawing>
      </w:r>
    </w:p>
    <w:p>
      <w:pPr>
        <w:pStyle w:val="Titre2"/>
      </w:pPr>
      <w:r>
        <w:t>EH05 : Transition graphique - Livret individuel en consultation (GRH et Libre-service) : fil d'Ariane de la section et du sous-écran, boutons pour plier ou déplier toutes les sections ou tous les blocs, et affichage possible d'informations de l'agent ou de sa carrière (voir EO17) [Mantis #19887]</w:t>
      </w:r>
    </w:p>
    <w:p>
      <w:r>
        <w:t>Transition graphique - Ajout de nouvelles fonctionnalités dans les écrans de consultation du livret individuel ("GRH / Général &gt; Livrets individuels &gt; Détails des livrets individuels / agents" et "Libre-service / Général &gt; Mon Livret individuel &gt; Détails livret individuel") : d'un fil d'Ariane reprenant la section et et le sous-écran consulté, des boutons pour plier ou déplier toutes les sections ou tous les blocs du sous-écran, et la possibilité d'afficher certaines informations de l'agent ou de sa carrière (voir changelog 5.22 * EO17)</w:t>
      </w:r>
    </w:p>
    <w:p>
      <w:r>
        <w:t>Fil d'Ariane, filtre des rubriques et bouton « Tout replier » :</w:t>
      </w:r>
    </w:p>
    <w:p>
      <w:r>
        <w:drawing>
          <wp:inline xmlns:a="http://schemas.openxmlformats.org/drawingml/2006/main" xmlns:pic="http://schemas.openxmlformats.org/drawingml/2006/picture">
            <wp:extent cx="5762625" cy="789160"/>
            <wp:docPr id="1669210112" name="Picture 1669210112" descr="EH05 - illustration 1"/>
            <wp:cNvGraphicFramePr>
              <a:graphicFrameLocks noChangeAspect="1"/>
            </wp:cNvGraphicFramePr>
            <a:graphic>
              <a:graphicData uri="http://schemas.openxmlformats.org/drawingml/2006/picture">
                <pic:pic>
                  <pic:nvPicPr>
                    <pic:cNvPr id="0" name="6-0_034.png"/>
                    <pic:cNvPicPr/>
                  </pic:nvPicPr>
                  <pic:blipFill>
                    <a:blip r:embed="rId52"/>
                    <a:stretch>
                      <a:fillRect/>
                    </a:stretch>
                  </pic:blipFill>
                  <pic:spPr>
                    <a:xfrm>
                      <a:off x="0" y="0"/>
                      <a:ext cx="5762625" cy="789160"/>
                    </a:xfrm>
                    <a:prstGeom prst="rect"/>
                  </pic:spPr>
                </pic:pic>
              </a:graphicData>
            </a:graphic>
          </wp:inline>
        </w:drawing>
      </w:r>
    </w:p>
    <w:p>
      <w:pPr>
        <w:pStyle w:val="Titre2"/>
      </w:pPr>
      <w:r>
        <w:t>EH06 : Les modifications de carrière, anciennement disponible depuis le bandeau agent dans les livrets individuels, seront désormais présents dans un bloc dédié dans le sous-écran "GRH / Général &gt; Livrets individuels &gt; Détails des livrets individuels / Situation administrative &gt; Grades / Carrières" [Mantis #19887]</w:t>
      </w:r>
    </w:p>
    <w:p>
      <w:r>
        <w:drawing>
          <wp:inline xmlns:a="http://schemas.openxmlformats.org/drawingml/2006/main" xmlns:pic="http://schemas.openxmlformats.org/drawingml/2006/picture">
            <wp:extent cx="5762625" cy="1565046"/>
            <wp:docPr id="1669210113" name="Picture 1669210113" descr="EH06 - illustration 1"/>
            <wp:cNvGraphicFramePr>
              <a:graphicFrameLocks noChangeAspect="1"/>
            </wp:cNvGraphicFramePr>
            <a:graphic>
              <a:graphicData uri="http://schemas.openxmlformats.org/drawingml/2006/picture">
                <pic:pic>
                  <pic:nvPicPr>
                    <pic:cNvPr id="0" name="6-0_035.png"/>
                    <pic:cNvPicPr/>
                  </pic:nvPicPr>
                  <pic:blipFill>
                    <a:blip r:embed="rId53"/>
                    <a:stretch>
                      <a:fillRect/>
                    </a:stretch>
                  </pic:blipFill>
                  <pic:spPr>
                    <a:xfrm>
                      <a:off x="0" y="0"/>
                      <a:ext cx="5762625" cy="1565046"/>
                    </a:xfrm>
                    <a:prstGeom prst="rect"/>
                  </pic:spPr>
                </pic:pic>
              </a:graphicData>
            </a:graphic>
          </wp:inline>
        </w:drawing>
      </w:r>
    </w:p>
    <w:p>
      <w:r>
        <w:t>En licence « Virtualia », il s’agit du bloc « Carrières », en licence « GEEF », il s’agit du bloc « Grades ».</w:t>
      </w:r>
    </w:p>
    <w:p>
      <w:pPr>
        <w:pStyle w:val="Titre2"/>
      </w:pPr>
      <w:r>
        <w:t>EH07 : Les situations familiales et les enfants d'un agent sont désormais affichés par ordre chronologique inverse (la plus récente situation et le plus jeune enfant en premier), notamment dans "GRH / Général &gt; Livrets individuels &gt; Détails des livrets individuels / Identité &gt; Civilité" [Pas de Mantis]</w:t>
      </w:r>
    </w:p>
    <w:p>
      <w:r>
        <w:t>GRH &gt; Livrets individuels &gt; Détails des livrets individuels &gt; Identité &gt; Civilité : les situations familiales, de la plus récente à la plus ancienne :</w:t>
      </w:r>
    </w:p>
    <w:p>
      <w:r>
        <w:drawing>
          <wp:inline xmlns:a="http://schemas.openxmlformats.org/drawingml/2006/main" xmlns:pic="http://schemas.openxmlformats.org/drawingml/2006/picture">
            <wp:extent cx="5762625" cy="1473398"/>
            <wp:docPr id="1669210114" name="Picture 1669210114" descr="EH07 - illustration 1"/>
            <wp:cNvGraphicFramePr>
              <a:graphicFrameLocks noChangeAspect="1"/>
            </wp:cNvGraphicFramePr>
            <a:graphic>
              <a:graphicData uri="http://schemas.openxmlformats.org/drawingml/2006/picture">
                <pic:pic>
                  <pic:nvPicPr>
                    <pic:cNvPr id="0" name="6-0_036.png"/>
                    <pic:cNvPicPr/>
                  </pic:nvPicPr>
                  <pic:blipFill>
                    <a:blip r:embed="rId54"/>
                    <a:stretch>
                      <a:fillRect/>
                    </a:stretch>
                  </pic:blipFill>
                  <pic:spPr>
                    <a:xfrm>
                      <a:off x="0" y="0"/>
                      <a:ext cx="5762625" cy="1473398"/>
                    </a:xfrm>
                    <a:prstGeom prst="rect"/>
                  </pic:spPr>
                </pic:pic>
              </a:graphicData>
            </a:graphic>
          </wp:inline>
        </w:drawing>
      </w:r>
    </w:p>
    <w:p>
      <w:r>
        <w:t>Même écran : les enfants, du plus jeune au plus âgé :</w:t>
      </w:r>
    </w:p>
    <w:p>
      <w:r>
        <w:drawing>
          <wp:inline xmlns:a="http://schemas.openxmlformats.org/drawingml/2006/main" xmlns:pic="http://schemas.openxmlformats.org/drawingml/2006/picture">
            <wp:extent cx="5762625" cy="3012281"/>
            <wp:docPr id="1669210115" name="Picture 1669210115" descr="EH07 - illustration 2"/>
            <wp:cNvGraphicFramePr>
              <a:graphicFrameLocks noChangeAspect="1"/>
            </wp:cNvGraphicFramePr>
            <a:graphic>
              <a:graphicData uri="http://schemas.openxmlformats.org/drawingml/2006/picture">
                <pic:pic>
                  <pic:nvPicPr>
                    <pic:cNvPr id="0" name="6-0_037.png"/>
                    <pic:cNvPicPr/>
                  </pic:nvPicPr>
                  <pic:blipFill>
                    <a:blip r:embed="rId55"/>
                    <a:stretch>
                      <a:fillRect/>
                    </a:stretch>
                  </pic:blipFill>
                  <pic:spPr>
                    <a:xfrm>
                      <a:off x="0" y="0"/>
                      <a:ext cx="5762625" cy="3012281"/>
                    </a:xfrm>
                    <a:prstGeom prst="rect"/>
                  </pic:spPr>
                </pic:pic>
              </a:graphicData>
            </a:graphic>
          </wp:inline>
        </w:drawing>
      </w:r>
    </w:p>
    <w:p>
      <w:pPr>
        <w:pStyle w:val="Titre2"/>
      </w:pPr>
      <w:r>
        <w:t>CH01 : Import du fichier de certification IDE (GRH &gt; Déclaratifs &gt; CIR) : la confirmation et le contrôle du nom du fichier ne s'exécutaient pas, et l'import partait sans demande de confirmation ; ils sont rétablis, avec un message de confirmation propre à ce fichier (il évoquait jusqu'ici les fichiers de base paie). Un nom de fichier qui ne correspond pas au fichier attendu ne bloque pas l'import : une confirmation est demandée (« Importer quand même ? ») [Pas de Mantis]</w:t>
      </w:r>
    </w:p>
    <w:p>
      <w:r>
        <w:t>GRH &gt; Déclaratifs &gt; CIR, import du fichier de certification IDE : un nom de fichier qui ne correspond pas au fichier attendu ne bloque pas l'import, une confirmation est demandée (« Importer quand même ? ») :</w:t>
      </w:r>
    </w:p>
    <w:p>
      <w:r>
        <w:drawing>
          <wp:inline xmlns:a="http://schemas.openxmlformats.org/drawingml/2006/main" xmlns:pic="http://schemas.openxmlformats.org/drawingml/2006/picture">
            <wp:extent cx="4867275" cy="1685925"/>
            <wp:docPr id="1669210116" name="Picture 1669210116" descr="CH01 - illustration 1"/>
            <wp:cNvGraphicFramePr>
              <a:graphicFrameLocks noChangeAspect="1"/>
            </wp:cNvGraphicFramePr>
            <a:graphic>
              <a:graphicData uri="http://schemas.openxmlformats.org/drawingml/2006/picture">
                <pic:pic>
                  <pic:nvPicPr>
                    <pic:cNvPr id="0" name="6-0_038.png"/>
                    <pic:cNvPicPr/>
                  </pic:nvPicPr>
                  <pic:blipFill>
                    <a:blip r:embed="rId56"/>
                    <a:stretch>
                      <a:fillRect/>
                    </a:stretch>
                  </pic:blipFill>
                  <pic:spPr>
                    <a:xfrm>
                      <a:off x="0" y="0"/>
                      <a:ext cx="4867275" cy="1685925"/>
                    </a:xfrm>
                    <a:prstGeom prst="rect"/>
                  </pic:spPr>
                </pic:pic>
              </a:graphicData>
            </a:graphic>
          </wp:inline>
        </w:drawing>
      </w:r>
    </w:p>
    <w:p>
      <w:pPr>
        <w:pStyle w:val="Titre2"/>
      </w:pPr>
      <w:r>
        <w:t>CH02 : Correction du formatage de l'adresse courriel/UPN/sAMAccountName généré automatiquement lors de la création d'un agent via l'écran "GRH &gt; Livrets individuels &gt; Liste des Agents", en processus guidé ou non [Mantis #19646]</w:t>
      </w:r>
    </w:p>
    <w:p>
      <w:r>
        <w:t>GRH &gt; Livrets individuels &gt; Détails des livrets individuels / Identité &gt; Identification : pour un agent créé avec un nom et un prénom accentués, l'adresse courriel, l'identifiant userPrincipalName et le sAMAccountName générés automatiquement sont sans accent ni majuscule (« prenom.nom ») :</w:t>
      </w:r>
    </w:p>
    <w:p>
      <w:r>
        <w:drawing>
          <wp:inline xmlns:a="http://schemas.openxmlformats.org/drawingml/2006/main" xmlns:pic="http://schemas.openxmlformats.org/drawingml/2006/picture">
            <wp:extent cx="5762625" cy="2009715"/>
            <wp:docPr id="1669210117" name="Picture 1669210117" descr="CH02 - illustration 1"/>
            <wp:cNvGraphicFramePr>
              <a:graphicFrameLocks noChangeAspect="1"/>
            </wp:cNvGraphicFramePr>
            <a:graphic>
              <a:graphicData uri="http://schemas.openxmlformats.org/drawingml/2006/picture">
                <pic:pic>
                  <pic:nvPicPr>
                    <pic:cNvPr id="0" name="6-0_039.png"/>
                    <pic:cNvPicPr/>
                  </pic:nvPicPr>
                  <pic:blipFill>
                    <a:blip r:embed="rId57"/>
                    <a:stretch>
                      <a:fillRect/>
                    </a:stretch>
                  </pic:blipFill>
                  <pic:spPr>
                    <a:xfrm>
                      <a:off x="0" y="0"/>
                      <a:ext cx="5762625" cy="2009715"/>
                    </a:xfrm>
                    <a:prstGeom prst="rect"/>
                  </pic:spPr>
                </pic:pic>
              </a:graphicData>
            </a:graphic>
          </wp:inline>
        </w:drawing>
      </w:r>
    </w:p>
    <w:p>
      <w:pPr>
        <w:pStyle w:val="Titre2"/>
      </w:pPr>
      <w:r>
        <w:t>CH03 : Dans l'écran "GRH &gt; Livrets individuels &gt; Détails des livrets individuels", l'adresse courriel suggérée (absente de la base) est désormais signalée par une icône, comme l'identifiant de connexion [Mantis #19646]</w:t>
      </w:r>
    </w:p>
    <w:p>
      <w:r>
        <w:t>GRH &gt; Livrets individuels &gt; Détails des livrets individuels / Identité &gt; Identification : l'adresse courriel suggérée, pas encore enregistrée, est signalée par une icône à côté du champ :</w:t>
      </w:r>
    </w:p>
    <w:p>
      <w:r>
        <w:drawing>
          <wp:inline xmlns:a="http://schemas.openxmlformats.org/drawingml/2006/main" xmlns:pic="http://schemas.openxmlformats.org/drawingml/2006/picture">
            <wp:extent cx="5762625" cy="2038180"/>
            <wp:docPr id="1669210118" name="Picture 1669210118" descr="CH03 - illustration 1"/>
            <wp:cNvGraphicFramePr>
              <a:graphicFrameLocks noChangeAspect="1"/>
            </wp:cNvGraphicFramePr>
            <a:graphic>
              <a:graphicData uri="http://schemas.openxmlformats.org/drawingml/2006/picture">
                <pic:pic>
                  <pic:nvPicPr>
                    <pic:cNvPr id="0" name="6-0_040.png"/>
                    <pic:cNvPicPr/>
                  </pic:nvPicPr>
                  <pic:blipFill>
                    <a:blip r:embed="rId58"/>
                    <a:stretch>
                      <a:fillRect/>
                    </a:stretch>
                  </pic:blipFill>
                  <pic:spPr>
                    <a:xfrm>
                      <a:off x="0" y="0"/>
                      <a:ext cx="5762625" cy="2038180"/>
                    </a:xfrm>
                    <a:prstGeom prst="rect"/>
                  </pic:spPr>
                </pic:pic>
              </a:graphicData>
            </a:graphic>
          </wp:inline>
        </w:drawing>
      </w:r>
    </w:p>
    <w:p>
      <w:r>
        <w:br w:type="page"/>
      </w:r>
    </w:p>
    <w:p>
      <w:pPr>
        <w:pStyle w:val="Titre1"/>
      </w:pPr>
      <w:r>
        <w:t>Paie DGFIP</w:t>
      </w:r>
    </w:p>
    <w:p>
      <w:pPr>
        <w:pStyle w:val="Titre2"/>
      </w:pPr>
      <w:r>
        <w:t>EI01A : Prise en charge de l'import des fichiers PSC de l'organisme ALAN : les lignes de dispense transmises sans référence de contrat créent désormais une affiliation dispensée au lieu d'être rejetées [Mantis #19418]</w:t>
      </w:r>
    </w:p>
    <w:p>
      <w:r>
        <w:t>Écran des affiliations PSC, avec l'import des fichiers de l'organisme et les colonnes de dispense :</w:t>
      </w:r>
    </w:p>
    <w:p>
      <w:r>
        <w:drawing>
          <wp:inline xmlns:a="http://schemas.openxmlformats.org/drawingml/2006/main" xmlns:pic="http://schemas.openxmlformats.org/drawingml/2006/picture">
            <wp:extent cx="5762625" cy="1543247"/>
            <wp:docPr id="1669210119" name="Picture 1669210119" descr="EI01A - illustration 1"/>
            <wp:cNvGraphicFramePr>
              <a:graphicFrameLocks noChangeAspect="1"/>
            </wp:cNvGraphicFramePr>
            <a:graphic>
              <a:graphicData uri="http://schemas.openxmlformats.org/drawingml/2006/picture">
                <pic:pic>
                  <pic:nvPicPr>
                    <pic:cNvPr id="0" name="6-0_041.png"/>
                    <pic:cNvPicPr/>
                  </pic:nvPicPr>
                  <pic:blipFill>
                    <a:blip r:embed="rId59"/>
                    <a:stretch>
                      <a:fillRect/>
                    </a:stretch>
                  </pic:blipFill>
                  <pic:spPr>
                    <a:xfrm>
                      <a:off x="0" y="0"/>
                      <a:ext cx="5762625" cy="1543247"/>
                    </a:xfrm>
                    <a:prstGeom prst="rect"/>
                  </pic:spPr>
                </pic:pic>
              </a:graphicData>
            </a:graphic>
          </wp:inline>
        </w:drawing>
      </w:r>
    </w:p>
    <w:p>
      <w:pPr>
        <w:pStyle w:val="Titre2"/>
      </w:pPr>
      <w:r>
        <w:t>EI01B : Le motif de dispense utilisé par cet organisme est créé automatiquement au premier import lorsqu'il n'est pas encore paramétré, plutôt que de faire échouer l'ensemble des dispenses du fichier [Mantis #19418]</w:t>
      </w:r>
    </w:p>
    <w:p>
      <w:r>
        <w:drawing>
          <wp:inline xmlns:a="http://schemas.openxmlformats.org/drawingml/2006/main" xmlns:pic="http://schemas.openxmlformats.org/drawingml/2006/picture">
            <wp:extent cx="5762625" cy="1277904"/>
            <wp:docPr id="1669210120" name="Picture 1669210120" descr="EI01B - illustration 1"/>
            <wp:cNvGraphicFramePr>
              <a:graphicFrameLocks noChangeAspect="1"/>
            </wp:cNvGraphicFramePr>
            <a:graphic>
              <a:graphicData uri="http://schemas.openxmlformats.org/drawingml/2006/picture">
                <pic:pic>
                  <pic:nvPicPr>
                    <pic:cNvPr id="0" name="6-0_042.png"/>
                    <pic:cNvPicPr/>
                  </pic:nvPicPr>
                  <pic:blipFill>
                    <a:blip r:embed="rId60"/>
                    <a:stretch>
                      <a:fillRect/>
                    </a:stretch>
                  </pic:blipFill>
                  <pic:spPr>
                    <a:xfrm>
                      <a:off x="0" y="0"/>
                      <a:ext cx="5762625" cy="1277904"/>
                    </a:xfrm>
                    <a:prstGeom prst="rect"/>
                  </pic:spPr>
                </pic:pic>
              </a:graphicData>
            </a:graphic>
          </wp:inline>
        </w:drawing>
      </w:r>
    </w:p>
    <w:p>
      <w:r>
        <w:t>Cet écran est automatiquement renseigné par l’interface.</w:t>
      </w:r>
    </w:p>
    <w:p>
      <w:pPr>
        <w:pStyle w:val="Titre2"/>
      </w:pPr>
      <w:r>
        <w:t>EI01C : Les libellés de changement « Couv. annulée » et « Suspension d'activité professionnelle » sont désormais reconnus et ne remontent plus en anomalie [Mantis #19418]</w:t>
      </w:r>
    </w:p>
    <w:p>
      <w:r>
        <w:t>Point technique, sans illustration.</w:t>
      </w:r>
    </w:p>
    <w:p>
      <w:pPr>
        <w:pStyle w:val="Titre2"/>
      </w:pPr>
      <w:r>
        <w:t>EI01D : L'arrivée d'une nouvelle période clôture le dossier en cours de l'agent même lorsque le contrat n'est pas renseigné sur la ligne importée [Mantis #19418]</w:t>
      </w:r>
    </w:p>
    <w:p>
      <w:r>
        <w:drawing>
          <wp:inline xmlns:a="http://schemas.openxmlformats.org/drawingml/2006/main" xmlns:pic="http://schemas.openxmlformats.org/drawingml/2006/picture">
            <wp:extent cx="5762625" cy="2073581"/>
            <wp:docPr id="1669210121" name="Picture 1669210121" descr="EI01D - illustration 1"/>
            <wp:cNvGraphicFramePr>
              <a:graphicFrameLocks noChangeAspect="1"/>
            </wp:cNvGraphicFramePr>
            <a:graphic>
              <a:graphicData uri="http://schemas.openxmlformats.org/drawingml/2006/picture">
                <pic:pic>
                  <pic:nvPicPr>
                    <pic:cNvPr id="0" name="6-0_043.png"/>
                    <pic:cNvPicPr/>
                  </pic:nvPicPr>
                  <pic:blipFill>
                    <a:blip r:embed="rId61"/>
                    <a:stretch>
                      <a:fillRect/>
                    </a:stretch>
                  </pic:blipFill>
                  <pic:spPr>
                    <a:xfrm>
                      <a:off x="0" y="0"/>
                      <a:ext cx="5762625" cy="2073581"/>
                    </a:xfrm>
                    <a:prstGeom prst="rect"/>
                  </pic:spPr>
                </pic:pic>
              </a:graphicData>
            </a:graphic>
          </wp:inline>
        </w:drawing>
      </w:r>
    </w:p>
    <w:p>
      <w:r>
        <w:t>Une nouvelle ligne d’affiliation est créée et la précédente est fermée.</w:t>
      </w:r>
    </w:p>
    <w:p>
      <w:pPr>
        <w:pStyle w:val="Titre2"/>
      </w:pPr>
      <w:r>
        <w:t>EI02 : Retenues pour arrêt des agents rémunérés par mouvement 45 : mouvements 40, 41 ou 42 en sens contraire selon la période des jours d'arrêt, retenue calculée sur 30 jours au prorata des taux de rémunération, sans retenir deux fois une même période [Mantis #17817]</w:t>
      </w:r>
    </w:p>
    <w:p>
      <w:r>
        <w:t>Retenues pour arrêt (maladie…) des agents rémunérés par mouvement 45 : un mouvement 40 en sens contraire est généré pour les jours d'arrêt du mois de paie, un 41 pour ceux des mois antérieurs de l'année et un 42 pour ceux de l'année précédente (un arrêt à cheval sur deux mois produit un 40 et un 41) ; la retenue est calculée sur une base de 30 jours en additionnant les proratas de chaque taux de rémunération de la période, et une période déjà retenue lors d'une paie précédente n'est pas retenue une seconde fois</w:t>
      </w:r>
    </w:p>
    <w:p>
      <w:r>
        <w:drawing>
          <wp:inline xmlns:a="http://schemas.openxmlformats.org/drawingml/2006/main" xmlns:pic="http://schemas.openxmlformats.org/drawingml/2006/picture">
            <wp:extent cx="5762625" cy="701771"/>
            <wp:docPr id="1669210122" name="Picture 1669210122" descr="EI02 - illustration 1"/>
            <wp:cNvGraphicFramePr>
              <a:graphicFrameLocks noChangeAspect="1"/>
            </wp:cNvGraphicFramePr>
            <a:graphic>
              <a:graphicData uri="http://schemas.openxmlformats.org/drawingml/2006/picture">
                <pic:pic>
                  <pic:nvPicPr>
                    <pic:cNvPr id="0" name="6-0_044.png"/>
                    <pic:cNvPicPr/>
                  </pic:nvPicPr>
                  <pic:blipFill>
                    <a:blip r:embed="rId62"/>
                    <a:stretch>
                      <a:fillRect/>
                    </a:stretch>
                  </pic:blipFill>
                  <pic:spPr>
                    <a:xfrm>
                      <a:off x="0" y="0"/>
                      <a:ext cx="5762625" cy="701771"/>
                    </a:xfrm>
                    <a:prstGeom prst="rect"/>
                  </pic:spPr>
                </pic:pic>
              </a:graphicData>
            </a:graphic>
          </wp:inline>
        </w:drawing>
      </w:r>
    </w:p>
    <w:p>
      <w:r>
        <w:drawing>
          <wp:inline xmlns:a="http://schemas.openxmlformats.org/drawingml/2006/main" xmlns:pic="http://schemas.openxmlformats.org/drawingml/2006/picture">
            <wp:extent cx="5762625" cy="859220"/>
            <wp:docPr id="1669210123" name="Picture 1669210123" descr="EI02 - illustration 2"/>
            <wp:cNvGraphicFramePr>
              <a:graphicFrameLocks noChangeAspect="1"/>
            </wp:cNvGraphicFramePr>
            <a:graphic>
              <a:graphicData uri="http://schemas.openxmlformats.org/drawingml/2006/picture">
                <pic:pic>
                  <pic:nvPicPr>
                    <pic:cNvPr id="0" name="6-0_045.png"/>
                    <pic:cNvPicPr/>
                  </pic:nvPicPr>
                  <pic:blipFill>
                    <a:blip r:embed="rId63"/>
                    <a:stretch>
                      <a:fillRect/>
                    </a:stretch>
                  </pic:blipFill>
                  <pic:spPr>
                    <a:xfrm>
                      <a:off x="0" y="0"/>
                      <a:ext cx="5762625" cy="859220"/>
                    </a:xfrm>
                    <a:prstGeom prst="rect"/>
                  </pic:spPr>
                </pic:pic>
              </a:graphicData>
            </a:graphic>
          </wp:inline>
        </w:drawing>
      </w:r>
    </w:p>
    <w:p>
      <w:r>
        <w:drawing>
          <wp:inline xmlns:a="http://schemas.openxmlformats.org/drawingml/2006/main" xmlns:pic="http://schemas.openxmlformats.org/drawingml/2006/picture">
            <wp:extent cx="5762625" cy="1068983"/>
            <wp:docPr id="1669210124" name="Picture 1669210124" descr="EI02 - illustration 3"/>
            <wp:cNvGraphicFramePr>
              <a:graphicFrameLocks noChangeAspect="1"/>
            </wp:cNvGraphicFramePr>
            <a:graphic>
              <a:graphicData uri="http://schemas.openxmlformats.org/drawingml/2006/picture">
                <pic:pic>
                  <pic:nvPicPr>
                    <pic:cNvPr id="0" name="6-0_046.png"/>
                    <pic:cNvPicPr/>
                  </pic:nvPicPr>
                  <pic:blipFill>
                    <a:blip r:embed="rId64"/>
                    <a:stretch>
                      <a:fillRect/>
                    </a:stretch>
                  </pic:blipFill>
                  <pic:spPr>
                    <a:xfrm>
                      <a:off x="0" y="0"/>
                      <a:ext cx="5762625" cy="1068983"/>
                    </a:xfrm>
                    <a:prstGeom prst="rect"/>
                  </pic:spPr>
                </pic:pic>
              </a:graphicData>
            </a:graphic>
          </wp:inline>
        </w:drawing>
      </w:r>
    </w:p>
    <w:p>
      <w:pPr>
        <w:pStyle w:val="Titre2"/>
      </w:pPr>
      <w:r>
        <w:t>EI03 : Paie DGFIP &gt; Paramétrage &gt; Administrations : nouveau champ « Plafond » (Budget de l'État / Ressources propres), affiché si la LOLF est utilisée ; renseigné, il alimente le plafond d'emplois des mouvements 02 des agents de l'administration [Mantis #19793]</w:t>
      </w:r>
    </w:p>
    <w:p>
      <w:r>
        <w:t>Paie DGFIP &gt; Paramétrage &gt; Administrations : nouveau champ « Plafond » (1 - Budget de l'État / 2 - Ressources propres), affiché uniquement si le paramètre « Paie DGFIP - Utiliser la LOLF dans la génération des mouvements » est à OUI. Lorsqu'il est renseigné, il alimente le plafond d'emplois des mouvements 02 des agents rattachés à l'administration, à la place de la valeur déduite de l'autorisation d'emploi LOLF</w:t>
      </w:r>
    </w:p>
    <w:p>
      <w:r>
        <w:t>Paie DGFIP / Administration &gt; Paie DGFIP &gt; Administrations, modification d'une administration : nouveau champ « Plafond » (1 - Budget de l'État / 2 - Ressources propres), affiché quand la LOLF est utilisée :</w:t>
      </w:r>
    </w:p>
    <w:p>
      <w:r>
        <w:drawing>
          <wp:inline xmlns:a="http://schemas.openxmlformats.org/drawingml/2006/main" xmlns:pic="http://schemas.openxmlformats.org/drawingml/2006/picture">
            <wp:extent cx="5762625" cy="930886"/>
            <wp:docPr id="1669210125" name="Picture 1669210125" descr="EI03 - illustration 1"/>
            <wp:cNvGraphicFramePr>
              <a:graphicFrameLocks noChangeAspect="1"/>
            </wp:cNvGraphicFramePr>
            <a:graphic>
              <a:graphicData uri="http://schemas.openxmlformats.org/drawingml/2006/picture">
                <pic:pic>
                  <pic:nvPicPr>
                    <pic:cNvPr id="0" name="6-0_047.png"/>
                    <pic:cNvPicPr/>
                  </pic:nvPicPr>
                  <pic:blipFill>
                    <a:blip r:embed="rId65"/>
                    <a:stretch>
                      <a:fillRect/>
                    </a:stretch>
                  </pic:blipFill>
                  <pic:spPr>
                    <a:xfrm>
                      <a:off x="0" y="0"/>
                      <a:ext cx="5762625" cy="930886"/>
                    </a:xfrm>
                    <a:prstGeom prst="rect"/>
                  </pic:spPr>
                </pic:pic>
              </a:graphicData>
            </a:graphic>
          </wp:inline>
        </w:drawing>
      </w:r>
    </w:p>
    <w:p>
      <w:pPr>
        <w:pStyle w:val="Titre2"/>
      </w:pPr>
      <w:r>
        <w:t>CI01 : Correction du "Journal de Paie" (Paie/DGFIP &gt; Synthèses) : les agents au dossier de paie clos disparaissaient du journal des mois suivants alors que des éléments de paie (rappels, régularisations) y étaient encore versés ; ils sont de nouveau repris, sans doublon [Pas de Mantis]</w:t>
      </w:r>
    </w:p>
    <w:p>
      <w:r>
        <w:t>Correction du "Journal de Paie" (Paie/DGFIP &gt; Synthèses) : les agents dont le dossier de paie est clos n'étaient plus repris dans le journal des mois suivant sa date de fin — ils en disparaissaient entièrement, montants compris — alors que des éléments de paie (rappels, régularisations, retenues) continuaient d'être versés sur ce dossier et devaient être ventilés comptablement ; le rattachement au dossier de paie ne dépend plus de sa date de fin, sans réintroduire de ligne ni de montant en double</w:t>
      </w:r>
    </w:p>
    <w:p>
      <w:r>
        <w:t>Point technique, sans illustration.</w:t>
      </w:r>
    </w:p>
    <w:p>
      <w:pPr>
        <w:pStyle w:val="Titre2"/>
      </w:pPr>
      <w:r>
        <w:t>CI02 : Correction des totaux du "Journal de Paie" et de la "Synthèse des bulletins" (Paie/DGFIP &gt; Synthèses), faux dès que les cumuls étaient importants (centimes perdus, total tronqué au-delà de dix millions) : ils sont désormais calculés sans perte de précision [Pas de Mantis]</w:t>
      </w:r>
    </w:p>
    <w:p>
      <w:r>
        <w:t>Correction des totaux du "Journal de Paie" et de la "Synthèse des bulletins" (Paie/DGFIP &gt; Synthèses) : la ligne de total, les totaux par imputation et les totaux mensuels devenaient faux dès que les montants cumulés étaient importants — quelques centimes perdus sur des cumuls de l'ordre du million, et un total tronqué du type "1,23" au-delà de dix millions ; les cumuls sont désormais calculés et affichés sans perte de précision</w:t>
      </w:r>
    </w:p>
    <w:p>
      <w:r>
        <w:t>Point technique, sans illustration.</w:t>
      </w:r>
    </w:p>
    <w:p>
      <w:pPr>
        <w:pStyle w:val="Titre2"/>
      </w:pPr>
      <w:r>
        <w:t>CI03 : Les mouvements de carence "67" ne se génèreront plus pour des absences déjà traitées sur des dossiers de paie antérieurs [Mantis #19720]</w:t>
      </w:r>
    </w:p>
    <w:p>
      <w:r>
        <w:t>Avant la correction, les mouvements 67 étaient générés sur les nouveaux dossiers de paie même si ces derniers avaient déjà été envoyés en paie. Ce n’est plus le cas.</w:t>
      </w:r>
    </w:p>
    <w:p>
      <w:pPr>
        <w:pStyle w:val="Titre2"/>
      </w:pPr>
      <w:r>
        <w:t>CI04 : Une résidence administrative saisie sur un mois de paie déjà passé ne générait aucun mouvement, et la rémunération liée à la zone n'était jamais régularisée : ces changements sont transmis avec leur date d'effet, dans la limite de rétroactivité paramétrée [Mantis #19747]</w:t>
      </w:r>
    </w:p>
    <w:p>
      <w:r>
        <w:t>Une résidence administrative saisie tardivement, sur un mois de paie déjà passé, ne donnait lieu à aucun mouvement : ni le changement rétroactif lui-même, ni le retour à la résidence suivante n'étaient transmis, et la rémunération liée à la zone de résidence n'était donc jamais régularisée ; ces changements sont désormais détectés et transmis avec leur date d'effet réelle, sans remonter au-delà de la situation déjà appliquée par la DGFIP ni de la date renseignée dans le paramètre « Paie DGFIP - Date limite de rétroactivité »</w:t>
      </w:r>
    </w:p>
    <w:p>
      <w:r>
        <w:t>Exemple : une résidence administrative saisie en novembre avec effet au 1er septembre ne donnait lieu à aucun mouvement, la paie de septembre étant déjà passée. Le changement est désormais transmis à la DGFIP avec sa date d'effet du 1er septembre, suivi, le cas échéant, du retour à la résidence suivante à sa propre date : la rémunération liée à la zone de résidence est ainsi régularisée. La transmission ne remonte jamais avant la situation déjà appliquée par la DGFIP, ni avant la date du paramètre « Paie DGFIP - Date limite de rétroactivité ».</w:t>
      </w:r>
    </w:p>
    <w:p>
      <w:pPr>
        <w:pStyle w:val="Titre2"/>
      </w:pPr>
      <w:r>
        <w:t>CI05 : Plusieurs changements de résidence administrative dans un même mois de paie : seul le dernier était transmis (et un aller-retour ne l'était pas du tout) ; chaque changement donne désormais son propre mouvement, dans l'ordre chronologique [Mantis #19709]</w:t>
      </w:r>
    </w:p>
    <w:p>
      <w:r>
        <w:t>Lorsque plusieurs changements de résidence administrative se succédaient dans un même mois de paie, seul le dernier était transmis : les étapes intermédiaires étaient perdues, et un changement suivi d'un retour à la résidence d'origine dans le mois n'était pas transmis du tout, faute d'écart avec la situation connue de la DGFIP ; chaque changement donne désormais lieu à son propre mouvement, avec sa date d'effet et dans l'ordre chronologique</w:t>
      </w:r>
    </w:p>
    <w:p>
      <w:r>
        <w:drawing>
          <wp:inline xmlns:a="http://schemas.openxmlformats.org/drawingml/2006/main" xmlns:pic="http://schemas.openxmlformats.org/drawingml/2006/picture">
            <wp:extent cx="5743575" cy="2815964"/>
            <wp:docPr id="1669210126" name="Picture 1669210126" descr="CI05 - illustration 1"/>
            <wp:cNvGraphicFramePr>
              <a:graphicFrameLocks noChangeAspect="1"/>
            </wp:cNvGraphicFramePr>
            <a:graphic>
              <a:graphicData uri="http://schemas.openxmlformats.org/drawingml/2006/picture">
                <pic:pic>
                  <pic:nvPicPr>
                    <pic:cNvPr id="0" name="6-0_048.png"/>
                    <pic:cNvPicPr/>
                  </pic:nvPicPr>
                  <pic:blipFill>
                    <a:blip r:embed="rId66"/>
                    <a:stretch>
                      <a:fillRect/>
                    </a:stretch>
                  </pic:blipFill>
                  <pic:spPr>
                    <a:xfrm>
                      <a:off x="0" y="0"/>
                      <a:ext cx="5743575" cy="2815964"/>
                    </a:xfrm>
                    <a:prstGeom prst="rect"/>
                  </pic:spPr>
                </pic:pic>
              </a:graphicData>
            </a:graphic>
          </wp:inline>
        </w:drawing>
      </w:r>
    </w:p>
    <w:p>
      <w:pPr>
        <w:pStyle w:val="Titre2"/>
      </w:pPr>
      <w:r>
        <w:t>CI06 : Plusieurs indemnités de même code, montant et date d'effet saisies pour un agent étaient écartées comme doublons et aucune n'était payée : elles sont désormais transmises dès lors que leurs numéros d'ordre diffèrent [Mantis #19402]</w:t>
      </w:r>
    </w:p>
    <w:p>
      <w:r>
        <w:t>Lorsque plusieurs indemnités de même code, de même montant et de même date d'effet étaient saisies pour un agent, aucune n'était transmise en paie : elles étaient considérées comme des doublons et toutes écartées de la génération des mouvements ; elles sont désormais payées dès lors qu'elles portent des numéros d'ordre différents, le numéro d'ordre suffisant à les distinguer côté DGFIP</w:t>
      </w:r>
    </w:p>
    <w:p>
      <w:r>
        <w:drawing>
          <wp:inline xmlns:a="http://schemas.openxmlformats.org/drawingml/2006/main" xmlns:pic="http://schemas.openxmlformats.org/drawingml/2006/picture">
            <wp:extent cx="5762625" cy="924485"/>
            <wp:docPr id="1669210127" name="Picture 1669210127" descr="CI06 - illustration 1"/>
            <wp:cNvGraphicFramePr>
              <a:graphicFrameLocks noChangeAspect="1"/>
            </wp:cNvGraphicFramePr>
            <a:graphic>
              <a:graphicData uri="http://schemas.openxmlformats.org/drawingml/2006/picture">
                <pic:pic>
                  <pic:nvPicPr>
                    <pic:cNvPr id="0" name="6-0_049.png"/>
                    <pic:cNvPicPr/>
                  </pic:nvPicPr>
                  <pic:blipFill>
                    <a:blip r:embed="rId67"/>
                    <a:stretch>
                      <a:fillRect/>
                    </a:stretch>
                  </pic:blipFill>
                  <pic:spPr>
                    <a:xfrm>
                      <a:off x="0" y="0"/>
                      <a:ext cx="5762625" cy="924485"/>
                    </a:xfrm>
                    <a:prstGeom prst="rect"/>
                  </pic:spPr>
                </pic:pic>
              </a:graphicData>
            </a:graphic>
          </wp:inline>
        </w:drawing>
      </w:r>
    </w:p>
    <w:p>
      <w:r>
        <w:drawing>
          <wp:inline xmlns:a="http://schemas.openxmlformats.org/drawingml/2006/main" xmlns:pic="http://schemas.openxmlformats.org/drawingml/2006/picture">
            <wp:extent cx="5762625" cy="749677"/>
            <wp:docPr id="1669210128" name="Picture 1669210128" descr="CI06 - illustration 2"/>
            <wp:cNvGraphicFramePr>
              <a:graphicFrameLocks noChangeAspect="1"/>
            </wp:cNvGraphicFramePr>
            <a:graphic>
              <a:graphicData uri="http://schemas.openxmlformats.org/drawingml/2006/picture">
                <pic:pic>
                  <pic:nvPicPr>
                    <pic:cNvPr id="0" name="6-0_050.png"/>
                    <pic:cNvPicPr/>
                  </pic:nvPicPr>
                  <pic:blipFill>
                    <a:blip r:embed="rId68"/>
                    <a:stretch>
                      <a:fillRect/>
                    </a:stretch>
                  </pic:blipFill>
                  <pic:spPr>
                    <a:xfrm>
                      <a:off x="0" y="0"/>
                      <a:ext cx="5762625" cy="749677"/>
                    </a:xfrm>
                    <a:prstGeom prst="rect"/>
                  </pic:spPr>
                </pic:pic>
              </a:graphicData>
            </a:graphic>
          </wp:inline>
        </w:drawing>
      </w:r>
    </w:p>
    <w:p>
      <w:pPr>
        <w:pStyle w:val="Titre2"/>
      </w:pPr>
      <w:r>
        <w:t>CI07 : Le mouvement "80" (identification définitive) porte désormais le N°S.S. définitif dans l'identification de l'agent des exports GEST et PDF, et n'est généré que si le "N°S.S.", le "N°S.S. provisoire" et la "Date du N°S.S. définitif" sont renseignés [Mantis #19362]</w:t>
      </w:r>
    </w:p>
    <w:p>
      <w:r>
        <w:drawing>
          <wp:inline xmlns:a="http://schemas.openxmlformats.org/drawingml/2006/main" xmlns:pic="http://schemas.openxmlformats.org/drawingml/2006/picture">
            <wp:extent cx="5934075" cy="1056164"/>
            <wp:docPr id="1669210129" name="Picture 1669210129" descr="CI07 - illustration 1"/>
            <wp:cNvGraphicFramePr>
              <a:graphicFrameLocks noChangeAspect="1"/>
            </wp:cNvGraphicFramePr>
            <a:graphic>
              <a:graphicData uri="http://schemas.openxmlformats.org/drawingml/2006/picture">
                <pic:pic>
                  <pic:nvPicPr>
                    <pic:cNvPr id="0" name="6-0_051.png"/>
                    <pic:cNvPicPr/>
                  </pic:nvPicPr>
                  <pic:blipFill>
                    <a:blip r:embed="rId69"/>
                    <a:stretch>
                      <a:fillRect/>
                    </a:stretch>
                  </pic:blipFill>
                  <pic:spPr>
                    <a:xfrm>
                      <a:off x="0" y="0"/>
                      <a:ext cx="5934075" cy="1056164"/>
                    </a:xfrm>
                    <a:prstGeom prst="rect"/>
                  </pic:spPr>
                </pic:pic>
              </a:graphicData>
            </a:graphic>
          </wp:inline>
        </w:drawing>
      </w:r>
      <w:r>
        <w:drawing>
          <wp:inline xmlns:a="http://schemas.openxmlformats.org/drawingml/2006/main" xmlns:pic="http://schemas.openxmlformats.org/drawingml/2006/picture">
            <wp:extent cx="6134100" cy="661631"/>
            <wp:docPr id="1669210130" name="Picture 1669210130" descr="CI07 - illustration 2"/>
            <wp:cNvGraphicFramePr>
              <a:graphicFrameLocks noChangeAspect="1"/>
            </wp:cNvGraphicFramePr>
            <a:graphic>
              <a:graphicData uri="http://schemas.openxmlformats.org/drawingml/2006/picture">
                <pic:pic>
                  <pic:nvPicPr>
                    <pic:cNvPr id="0" name="6-0_052.png"/>
                    <pic:cNvPicPr/>
                  </pic:nvPicPr>
                  <pic:blipFill>
                    <a:blip r:embed="rId70"/>
                    <a:stretch>
                      <a:fillRect/>
                    </a:stretch>
                  </pic:blipFill>
                  <pic:spPr>
                    <a:xfrm>
                      <a:off x="0" y="0"/>
                      <a:ext cx="6134100" cy="661631"/>
                    </a:xfrm>
                    <a:prstGeom prst="rect"/>
                  </pic:spPr>
                </pic:pic>
              </a:graphicData>
            </a:graphic>
          </wp:inline>
        </w:drawing>
      </w:r>
    </w:p>
    <w:p>
      <w:pPr>
        <w:pStyle w:val="Titre2"/>
      </w:pPr>
      <w:r>
        <w:t>CI08 : Au retour d'un congé parental (absence sans traitement en régime 30), la reprise en régime 01 d'un agent en CDI ne transmettait pas la fin de situation : date de fin désormais zédifiée et code de fin de situation transmis à "ZZ" [Mantis #19314]</w:t>
      </w:r>
    </w:p>
    <w:p>
      <w:r>
        <w:t>Au retour d'un congé parental (ou de toute absence sans traitement placée en régime de rémunération 30), le mouvement de reprise en régime 01 d'un agent en CDI (contrat sans date de fin prévue) ne transmettait ni date ni code de fin de situation : la DGFIP conservait ceux posés à l'entrée en congé (code "SE"), comme si l'agent était toujours en fin de situation ; la date de fin de situation est désormais zédifiée ("ZZZZZZZZZZ") et le code de fin de situation transmis à "ZZ"</w:t>
      </w:r>
    </w:p>
    <w:p>
      <w:r>
        <w:t>Exemple : à l'entrée en congé parental d'un agent en CDI, le mouvement transmet un code de fin de situation « SE ». À son retour, le mouvement de reprise en régime 01 ne transmettait rien sur la fin de situation, et la DGFIP considérait toujours l'agent comme en fin de situation. La reprise transmet désormais une date de fin de situation zédifiée (« ZZZZZZZZZZ ») et le code « ZZ », qui lèvent cette fin de situation.</w:t>
      </w:r>
    </w:p>
    <w:p>
      <w:pPr>
        <w:pStyle w:val="Titre2"/>
      </w:pPr>
      <w:r>
        <w:t>CI09 : Correction du tableau des cotisations PSC d'un agent (Livret individuel &gt; Paie &gt; Affiliations PSC) : à la revalorisation d'une seule indemnité d'un contrat ou d'une option, les autres s'arrêtaient à tort la veille ; chacune reste en vigueur jusqu'à sa propre revalorisation [Mantis #19432]</w:t>
      </w:r>
    </w:p>
    <w:p>
      <w:r>
        <w:t>Correction du tableau des cotisations PSC d'un agent (Livret individuel &gt; Paie &gt; Affiliations PSC) lorsqu'une seule indemnité d'un contrat ou d'une option PSC est revalorisée : les autres indemnités du barème, non revalorisées, s'arrêtaient à tort la veille de la revalorisation. Pour une affiliation débutant après cette date, seule l'indemnité revalorisée apparaissait ; pour une affiliation antérieure, les autres indemnités prenaient fin la veille de la revalorisation, sans suite. Chaque indemnité reste désormais en vigueur jusqu'à sa propre revalorisation</w:t>
      </w:r>
    </w:p>
    <w:p>
      <w:r>
        <w:t>Tableau des cotisations PSC : chaque indemnité reste en vigueur jusqu'à sa propre revalorisation :</w:t>
      </w:r>
    </w:p>
    <w:p>
      <w:r>
        <w:drawing>
          <wp:inline xmlns:a="http://schemas.openxmlformats.org/drawingml/2006/main" xmlns:pic="http://schemas.openxmlformats.org/drawingml/2006/picture">
            <wp:extent cx="5762625" cy="1626893"/>
            <wp:docPr id="1669210131" name="Picture 1669210131" descr="CI09 - illustration 1"/>
            <wp:cNvGraphicFramePr>
              <a:graphicFrameLocks noChangeAspect="1"/>
            </wp:cNvGraphicFramePr>
            <a:graphic>
              <a:graphicData uri="http://schemas.openxmlformats.org/drawingml/2006/picture">
                <pic:pic>
                  <pic:nvPicPr>
                    <pic:cNvPr id="0" name="6-0_053.png"/>
                    <pic:cNvPicPr/>
                  </pic:nvPicPr>
                  <pic:blipFill>
                    <a:blip r:embed="rId71"/>
                    <a:stretch>
                      <a:fillRect/>
                    </a:stretch>
                  </pic:blipFill>
                  <pic:spPr>
                    <a:xfrm>
                      <a:off x="0" y="0"/>
                      <a:ext cx="5762625" cy="1626893"/>
                    </a:xfrm>
                    <a:prstGeom prst="rect"/>
                  </pic:spPr>
                </pic:pic>
              </a:graphicData>
            </a:graphic>
          </wp:inline>
        </w:drawing>
      </w:r>
    </w:p>
    <w:p>
      <w:pPr>
        <w:pStyle w:val="Titre2"/>
      </w:pPr>
      <w:r>
        <w:t>CI10 : Le mouvement "04" est désormais transmis à la réouverture d'un dossier de paie non apuré [Pas de Mantis]</w:t>
      </w:r>
    </w:p>
    <w:p>
      <w:r>
        <w:t>Avant la correction, le mouvement 04 du RIB ne se générait pas en cas de réouverture d’un dossier de paie non apuré (retour d’un agent parti depuis moins de 3 ans).</w:t>
      </w:r>
    </w:p>
    <w:p>
      <w:pPr>
        <w:pStyle w:val="Titre2"/>
      </w:pPr>
      <w:r>
        <w:t>CI11 : Le comparatif GEEF / DGFIP affiche désormais l'indice d'un type de rémunération indiciaire avec indice [Pas de Mantis]</w:t>
      </w:r>
    </w:p>
    <w:p>
      <w:r>
        <w:t>Livret individuel &gt; Paie &gt; Paie DGFIP, comparatif GEEF / DGFIP : l'indice majoré affiché est celui du type de rémunération indiciaire en cours (420), et non plus celui du grade :</w:t>
      </w:r>
    </w:p>
    <w:p>
      <w:r>
        <w:drawing>
          <wp:inline xmlns:a="http://schemas.openxmlformats.org/drawingml/2006/main" xmlns:pic="http://schemas.openxmlformats.org/drawingml/2006/picture">
            <wp:extent cx="5762625" cy="4535324"/>
            <wp:docPr id="1669210132" name="Picture 1669210132" descr="CI11 - illustration 1"/>
            <wp:cNvGraphicFramePr>
              <a:graphicFrameLocks noChangeAspect="1"/>
            </wp:cNvGraphicFramePr>
            <a:graphic>
              <a:graphicData uri="http://schemas.openxmlformats.org/drawingml/2006/picture">
                <pic:pic>
                  <pic:nvPicPr>
                    <pic:cNvPr id="0" name="6-0_054.png"/>
                    <pic:cNvPicPr/>
                  </pic:nvPicPr>
                  <pic:blipFill>
                    <a:blip r:embed="rId72"/>
                    <a:stretch>
                      <a:fillRect/>
                    </a:stretch>
                  </pic:blipFill>
                  <pic:spPr>
                    <a:xfrm>
                      <a:off x="0" y="0"/>
                      <a:ext cx="5762625" cy="4535324"/>
                    </a:xfrm>
                    <a:prstGeom prst="rect"/>
                  </pic:spPr>
                </pic:pic>
              </a:graphicData>
            </a:graphic>
          </wp:inline>
        </w:drawing>
      </w:r>
    </w:p>
    <w:p>
      <w:pPr>
        <w:pStyle w:val="Titre2"/>
      </w:pPr>
      <w:r>
        <w:t>CI12 : Le mouvement "45" ne se génère plus à chaque paie lorsque la rémunération permanente de l'agent est inchangée : un montant dont les centimes se terminent par 0 (ex. 1 422,50 €) était jugé, à tort, différent de la rémunération précalculée transmise par la DGFIP [Pas de Mantis]</w:t>
      </w:r>
    </w:p>
    <w:p>
      <w:r>
        <w:t>La rémunération permanente de l'agent est comparée, à chaque génération des mouvements, à la rémunération précalculée transmise par la DGFIP. Un montant dont les centimes se terminent par 0 (1 422,50 € par exemple) n'était pas écrit de la même façon des deux côtés : il était jugé différent, et un mouvement « 45 » était généré à chaque paie sans changement réel. Les deux montants sont désormais comparés à l'identique : le mouvement « 45 » n'est plus généré que si la rémunération a réellement changé.</w:t>
      </w:r>
    </w:p>
    <w:p>
      <w:pPr>
        <w:pStyle w:val="Titre2"/>
      </w:pPr>
      <w:r>
        <w:t>CI13 : Le champ "Code créancier social" du mouvement "PS" ne devrait plus être obligatoire à la saisie [Pas de Mantis - TNR SSAC]</w:t>
      </w:r>
    </w:p>
    <w:p>
      <w:r>
        <w:t>Livret individuel &gt; Paie &gt; Paie DGFIP, détail de la remise, mouvement « PSC Mutuelle (PS) » : le code créancier social n'est plus obligatoire à la saisie :</w:t>
      </w:r>
    </w:p>
    <w:p>
      <w:r>
        <w:drawing>
          <wp:inline xmlns:a="http://schemas.openxmlformats.org/drawingml/2006/main" xmlns:pic="http://schemas.openxmlformats.org/drawingml/2006/picture">
            <wp:extent cx="4762500" cy="7277100"/>
            <wp:docPr id="1669210133" name="Picture 1669210133" descr="CI13 - illustration 1"/>
            <wp:cNvGraphicFramePr>
              <a:graphicFrameLocks noChangeAspect="1"/>
            </wp:cNvGraphicFramePr>
            <a:graphic>
              <a:graphicData uri="http://schemas.openxmlformats.org/drawingml/2006/picture">
                <pic:pic>
                  <pic:nvPicPr>
                    <pic:cNvPr id="0" name="6-0_055.png"/>
                    <pic:cNvPicPr/>
                  </pic:nvPicPr>
                  <pic:blipFill>
                    <a:blip r:embed="rId73"/>
                    <a:stretch>
                      <a:fillRect/>
                    </a:stretch>
                  </pic:blipFill>
                  <pic:spPr>
                    <a:xfrm>
                      <a:off x="0" y="0"/>
                      <a:ext cx="4762500" cy="7277100"/>
                    </a:xfrm>
                    <a:prstGeom prst="rect"/>
                  </pic:spPr>
                </pic:pic>
              </a:graphicData>
            </a:graphic>
          </wp:inline>
        </w:drawing>
      </w:r>
    </w:p>
    <w:p>
      <w:pPr>
        <w:pStyle w:val="Titre2"/>
      </w:pPr>
      <w:r>
        <w:t>CI14 : Import PSC ALAN : les options souscrites sont désormais rattachées au dossier PSC de l'agent ; lors d'un changement ou d'un retrait d'option, ou d'un arrêt de couverture, l'option précédente est fermée. La référence de l'option créée est le code ALAN, sans le libellé qui le suit [Mantis #19931]</w:t>
      </w:r>
    </w:p>
    <w:p>
      <w:r>
        <w:t>Lors de l'import d'un fichier PSC de l'organisme ALAN, l'option souscrite par l'agent était créée sans être rattachée à son dossier PSC. Elle y est désormais rattachée, à sa date de début ; un changement ou un retrait d'option, comme un arrêt de couverture, ferme l'option précédente. La référence de l'option créée est le code fourni par ALAN, sans le libellé qui le suit dans le fichier : une option déjà créée par un import précédent avec le code et le libellé est retrouvée et réutilisée.</w:t>
      </w:r>
    </w:p>
    <w:p>
      <w:pPr>
        <w:pStyle w:val="Titre2"/>
      </w:pPr>
      <w:r>
        <w:t>CI15 : Les types de mouvements ne seront désormais plus en lecture seule lors de l'import du référentiel [Pas de Mantis - TNR]</w:t>
      </w:r>
    </w:p>
    <w:p>
      <w:r>
        <w:t>Point technique, sans illustration.</w:t>
      </w:r>
    </w:p>
    <w:p>
      <w:pPr>
        <w:pStyle w:val="Titre2"/>
      </w:pPr>
      <w:r>
        <w:t>CI16 : Correction des index de paramétrage des champs "Destination", "Plafond" et "Code chaire" du type de mouvement "02" [Pas de Mantis]</w:t>
      </w:r>
    </w:p>
    <w:p>
      <w:r>
        <w:t>Point technique, sans illustration.</w:t>
      </w:r>
    </w:p>
    <w:p>
      <w:pPr>
        <w:pStyle w:val="Titre2"/>
      </w:pPr>
      <w:r>
        <w:t>CI17 : Imports de fichiers de la paie DGFIP (base paie, LR, J5, KA, BJ, primes, PSC, ventilations validées) : la confirmation et le contrôle du nom des fichiers ne s'exécutaient pas, et l'import partait sans demande de confirmation ; ils sont rétablis. Un nom de fichier qui ne correspond pas au fichier attendu ne bloque pas l'import : une confirmation est demandée (« Importer quand même ? »). Chaque bloc d'import d'un même écran est contrôlé indépendamment des autres, et les messages de confirmation des imports de primes et de ventilations validées sont corrigés [Pas de Mantis - TNR EFLA]</w:t>
      </w:r>
    </w:p>
    <w:p>
      <w:r>
        <w:t>Imports de fichiers de la paie DGFIP : un nom de fichier qui ne correspond pas au fichier attendu ne bloque pas l'import, une confirmation est demandée (« Importer quand même ? ») :</w:t>
      </w:r>
    </w:p>
    <w:p>
      <w:r>
        <w:drawing>
          <wp:inline xmlns:a="http://schemas.openxmlformats.org/drawingml/2006/main" xmlns:pic="http://schemas.openxmlformats.org/drawingml/2006/picture">
            <wp:extent cx="4867275" cy="1685925"/>
            <wp:docPr id="1669210134" name="Picture 1669210134" descr="CI17 - illustration 1"/>
            <wp:cNvGraphicFramePr>
              <a:graphicFrameLocks noChangeAspect="1"/>
            </wp:cNvGraphicFramePr>
            <a:graphic>
              <a:graphicData uri="http://schemas.openxmlformats.org/drawingml/2006/picture">
                <pic:pic>
                  <pic:nvPicPr>
                    <pic:cNvPr id="0" name="6-0_038.png"/>
                    <pic:cNvPicPr/>
                  </pic:nvPicPr>
                  <pic:blipFill>
                    <a:blip r:embed="rId56"/>
                    <a:stretch>
                      <a:fillRect/>
                    </a:stretch>
                  </pic:blipFill>
                  <pic:spPr>
                    <a:xfrm>
                      <a:off x="0" y="0"/>
                      <a:ext cx="4867275" cy="1685925"/>
                    </a:xfrm>
                    <a:prstGeom prst="rect"/>
                  </pic:spPr>
                </pic:pic>
              </a:graphicData>
            </a:graphic>
          </wp:inline>
        </w:drawing>
      </w:r>
    </w:p>
    <w:p>
      <w:r>
        <w:br w:type="page"/>
      </w:r>
    </w:p>
    <w:p>
      <w:pPr>
        <w:pStyle w:val="Titre1"/>
      </w:pPr>
      <w:r>
        <w:t>Temps de Travail</w:t>
      </w:r>
    </w:p>
    <w:p>
      <w:pPr>
        <w:pStyle w:val="Titre2"/>
      </w:pPr>
      <w:r>
        <w:t>ET01 : Nouveau paramètre « Temps de travail - Masquer SNF » (NON par défaut) : à OUI, les absences d'un type « Service non fait » apparaissent dans les plannings et les demandes avec le code et la couleur génériques, sans leur motif ; l'agent voit toujours ses propres motifs [Mantis #16606]</w:t>
      </w:r>
    </w:p>
    <w:p>
      <w:r>
        <w:t>Nouveau paramètre « Temps de travail - Masquer SNF » (OUI/NON, « NON » par défaut) permettant de masquer, dans les plannings, le motif des absences posées sur un type d'absence marqué « Service non fait ». À « OUI », ces journées s'affichent avec le code et la couleur génériques des absences — comme pour un agent hors périmètre — et leur motif n'apparaît plus ni dans l'infobulle de survol de la journée, ni dans le détail de la journée, ni dans les tableaux de demandes, y compris le bloc de validation du planning collectif. L'agent concerné continue de voir le motif de ses propres absences.</w:t>
      </w:r>
    </w:p>
    <w:p>
      <w:r>
        <w:drawing>
          <wp:inline xmlns:a="http://schemas.openxmlformats.org/drawingml/2006/main" xmlns:pic="http://schemas.openxmlformats.org/drawingml/2006/picture">
            <wp:extent cx="4162424" cy="5147426"/>
            <wp:docPr id="1669210135" name="Picture 1669210135" descr="ET01 - illustration 1"/>
            <wp:cNvGraphicFramePr>
              <a:graphicFrameLocks noChangeAspect="1"/>
            </wp:cNvGraphicFramePr>
            <a:graphic>
              <a:graphicData uri="http://schemas.openxmlformats.org/drawingml/2006/picture">
                <pic:pic>
                  <pic:nvPicPr>
                    <pic:cNvPr id="0" name="6-0_057.png"/>
                    <pic:cNvPicPr/>
                  </pic:nvPicPr>
                  <pic:blipFill>
                    <a:blip r:embed="rId74"/>
                    <a:stretch>
                      <a:fillRect/>
                    </a:stretch>
                  </pic:blipFill>
                  <pic:spPr>
                    <a:xfrm>
                      <a:off x="0" y="0"/>
                      <a:ext cx="4162424" cy="5147426"/>
                    </a:xfrm>
                    <a:prstGeom prst="rect"/>
                  </pic:spPr>
                </pic:pic>
              </a:graphicData>
            </a:graphic>
          </wp:inline>
        </w:drawing>
      </w:r>
    </w:p>
    <w:p>
      <w:r>
        <w:t>Avec le paramètre à « OUI », l’absence apparaît comme une absence générique dans le planning, quel que soit l’accès de l’utilisateur.</w:t>
      </w:r>
    </w:p>
    <w:p>
      <w:r>
        <w:drawing>
          <wp:inline xmlns:a="http://schemas.openxmlformats.org/drawingml/2006/main" xmlns:pic="http://schemas.openxmlformats.org/drawingml/2006/picture">
            <wp:extent cx="5762625" cy="2796746"/>
            <wp:docPr id="1669210136" name="Picture 1669210136" descr="ET01 - illustration 2"/>
            <wp:cNvGraphicFramePr>
              <a:graphicFrameLocks noChangeAspect="1"/>
            </wp:cNvGraphicFramePr>
            <a:graphic>
              <a:graphicData uri="http://schemas.openxmlformats.org/drawingml/2006/picture">
                <pic:pic>
                  <pic:nvPicPr>
                    <pic:cNvPr id="0" name="6-0_058.png"/>
                    <pic:cNvPicPr/>
                  </pic:nvPicPr>
                  <pic:blipFill>
                    <a:blip r:embed="rId75"/>
                    <a:stretch>
                      <a:fillRect/>
                    </a:stretch>
                  </pic:blipFill>
                  <pic:spPr>
                    <a:xfrm>
                      <a:off x="0" y="0"/>
                      <a:ext cx="5762625" cy="2796746"/>
                    </a:xfrm>
                    <a:prstGeom prst="rect"/>
                  </pic:spPr>
                </pic:pic>
              </a:graphicData>
            </a:graphic>
          </wp:inline>
        </w:drawing>
      </w:r>
    </w:p>
    <w:p>
      <w:pPr>
        <w:pStyle w:val="Titre2"/>
      </w:pPr>
      <w:r>
        <w:t>ET02 : Nouvelle option « Masquer le compteur » sur les types d'absence (GRH / Administration &gt; Statuts et Filières &gt; Droits) : le type n'a plus de compteur et se demande sans contrôle de solde ; circuit de validation et dates limites inchangés [Mantis #19741]</w:t>
      </w:r>
    </w:p>
    <w:p>
      <w:r>
        <w:t>Nouvelle option « Masquer le compteur » sur les types d'absence utilisables en demande (GRH / Administration &gt; Statuts et Filières &gt; Droits). Un type ainsi paramétré n'a plus de compteur : il est ignoré par le calcul des droits, quel que soit le quota annuel déclaré pour le statut, et aucun compteur n'est plus créé ni affiché pour lui. Les agents dont le statut est déclaré pour ce type peuvent alors déposer une demande d'absence sans contrôle de solde (sans limite), en libre-service comme depuis leur responsable ; le circuit de validation, les dates limites de consommation et l'obligation de solder un report restent inchangés.</w:t>
      </w:r>
    </w:p>
    <w:p>
      <w:r>
        <w:drawing>
          <wp:inline xmlns:a="http://schemas.openxmlformats.org/drawingml/2006/main" xmlns:pic="http://schemas.openxmlformats.org/drawingml/2006/picture">
            <wp:extent cx="5800725" cy="2375410"/>
            <wp:docPr id="1669210137" name="Picture 1669210137" descr="ET02 - illustration 1"/>
            <wp:cNvGraphicFramePr>
              <a:graphicFrameLocks noChangeAspect="1"/>
            </wp:cNvGraphicFramePr>
            <a:graphic>
              <a:graphicData uri="http://schemas.openxmlformats.org/drawingml/2006/picture">
                <pic:pic>
                  <pic:nvPicPr>
                    <pic:cNvPr id="0" name="6-0_059.png"/>
                    <pic:cNvPicPr/>
                  </pic:nvPicPr>
                  <pic:blipFill>
                    <a:blip r:embed="rId76"/>
                    <a:stretch>
                      <a:fillRect/>
                    </a:stretch>
                  </pic:blipFill>
                  <pic:spPr>
                    <a:xfrm>
                      <a:off x="0" y="0"/>
                      <a:ext cx="5800725" cy="2375410"/>
                    </a:xfrm>
                    <a:prstGeom prst="rect"/>
                  </pic:spPr>
                </pic:pic>
              </a:graphicData>
            </a:graphic>
          </wp:inline>
        </w:drawing>
      </w:r>
    </w:p>
    <w:p>
      <w:pPr>
        <w:pStyle w:val="Titre2"/>
      </w:pPr>
      <w:r>
        <w:t>ET03 : Les listes de demandes (libre-service, planning de validation, demandes passées) affichent une colonne « Valideur(s) » : au survol, le circuit de validation étape par étape (statut, date de l'avis, valideur ou répondants attendus) [Mantis #19745]</w:t>
      </w:r>
    </w:p>
    <w:p>
      <w:r>
        <w:t>Les listes de demandes (libre-service, planning de validation des congés, demandes passées) affichent une nouvelle colonne « Valideur(s) ». Une icône par ligne présente au survol le détail du circuit de validation : une ligne par étape, avec son libellé, son statut, la date de l'avis et le nom du valideur — celui qui a statué lorsque l'avis est rendu, sinon le ou les répondants attendus de l'étape. Pour une étape confiée au valideur habituel, comme pour une demande sans circuit de validation, le nom affiché est celui du supérieur hiérarchique (N+1), destinataire de la notification ; l'infobulle le signale, d'autres gestionnaires pouvant également être habilités à valider. L'affichage de la liste n'est pas ralenti : ce détail n'est chargé qu'au survol de la ligne.</w:t>
      </w:r>
    </w:p>
    <w:p>
      <w:r>
        <w:t>Absence avec circuits de validation depuis la liste des demandes</w:t>
      </w:r>
    </w:p>
    <w:p>
      <w:r>
        <w:drawing>
          <wp:inline xmlns:a="http://schemas.openxmlformats.org/drawingml/2006/main" xmlns:pic="http://schemas.openxmlformats.org/drawingml/2006/picture">
            <wp:extent cx="5762625" cy="3008931"/>
            <wp:docPr id="1669210138" name="Picture 1669210138" descr="ET03 - illustration 1"/>
            <wp:cNvGraphicFramePr>
              <a:graphicFrameLocks noChangeAspect="1"/>
            </wp:cNvGraphicFramePr>
            <a:graphic>
              <a:graphicData uri="http://schemas.openxmlformats.org/drawingml/2006/picture">
                <pic:pic>
                  <pic:nvPicPr>
                    <pic:cNvPr id="0" name="6-0_060.png"/>
                    <pic:cNvPicPr/>
                  </pic:nvPicPr>
                  <pic:blipFill>
                    <a:blip r:embed="rId77"/>
                    <a:stretch>
                      <a:fillRect/>
                    </a:stretch>
                  </pic:blipFill>
                  <pic:spPr>
                    <a:xfrm>
                      <a:off x="0" y="0"/>
                      <a:ext cx="5762625" cy="3008931"/>
                    </a:xfrm>
                    <a:prstGeom prst="rect"/>
                  </pic:spPr>
                </pic:pic>
              </a:graphicData>
            </a:graphic>
          </wp:inline>
        </w:drawing>
      </w:r>
    </w:p>
    <w:p>
      <w:r>
        <w:t>Absence avec circuits de validation depuis le planning</w:t>
      </w:r>
    </w:p>
    <w:p>
      <w:r>
        <w:drawing>
          <wp:inline xmlns:a="http://schemas.openxmlformats.org/drawingml/2006/main" xmlns:pic="http://schemas.openxmlformats.org/drawingml/2006/picture">
            <wp:extent cx="5762625" cy="2332112"/>
            <wp:docPr id="1669210139" name="Picture 1669210139" descr="ET03 - illustration 2"/>
            <wp:cNvGraphicFramePr>
              <a:graphicFrameLocks noChangeAspect="1"/>
            </wp:cNvGraphicFramePr>
            <a:graphic>
              <a:graphicData uri="http://schemas.openxmlformats.org/drawingml/2006/picture">
                <pic:pic>
                  <pic:nvPicPr>
                    <pic:cNvPr id="0" name="6-0_061.png"/>
                    <pic:cNvPicPr/>
                  </pic:nvPicPr>
                  <pic:blipFill>
                    <a:blip r:embed="rId78"/>
                    <a:stretch>
                      <a:fillRect/>
                    </a:stretch>
                  </pic:blipFill>
                  <pic:spPr>
                    <a:xfrm>
                      <a:off x="0" y="0"/>
                      <a:ext cx="5762625" cy="2332112"/>
                    </a:xfrm>
                    <a:prstGeom prst="rect"/>
                  </pic:spPr>
                </pic:pic>
              </a:graphicData>
            </a:graphic>
          </wp:inline>
        </w:drawing>
      </w:r>
    </w:p>
    <w:p>
      <w:r>
        <w:t>Demande sans circuit de validation</w:t>
      </w:r>
    </w:p>
    <w:p>
      <w:r>
        <w:drawing>
          <wp:inline xmlns:a="http://schemas.openxmlformats.org/drawingml/2006/main" xmlns:pic="http://schemas.openxmlformats.org/drawingml/2006/picture">
            <wp:extent cx="5762625" cy="549932"/>
            <wp:docPr id="1669210140" name="Picture 1669210140" descr="ET03 - illustration 3"/>
            <wp:cNvGraphicFramePr>
              <a:graphicFrameLocks noChangeAspect="1"/>
            </wp:cNvGraphicFramePr>
            <a:graphic>
              <a:graphicData uri="http://schemas.openxmlformats.org/drawingml/2006/picture">
                <pic:pic>
                  <pic:nvPicPr>
                    <pic:cNvPr id="0" name="6-0_062.png"/>
                    <pic:cNvPicPr/>
                  </pic:nvPicPr>
                  <pic:blipFill>
                    <a:blip r:embed="rId79"/>
                    <a:stretch>
                      <a:fillRect/>
                    </a:stretch>
                  </pic:blipFill>
                  <pic:spPr>
                    <a:xfrm>
                      <a:off x="0" y="0"/>
                      <a:ext cx="5762625" cy="549932"/>
                    </a:xfrm>
                    <a:prstGeom prst="rect"/>
                  </pic:spPr>
                </pic:pic>
              </a:graphicData>
            </a:graphic>
          </wp:inline>
        </w:drawing>
      </w:r>
    </w:p>
    <w:p>
      <w:r>
        <w:drawing>
          <wp:inline xmlns:a="http://schemas.openxmlformats.org/drawingml/2006/main" xmlns:pic="http://schemas.openxmlformats.org/drawingml/2006/picture">
            <wp:extent cx="5762625" cy="1965348"/>
            <wp:docPr id="1669210141" name="Picture 1669210141" descr="ET03 - illustration 4"/>
            <wp:cNvGraphicFramePr>
              <a:graphicFrameLocks noChangeAspect="1"/>
            </wp:cNvGraphicFramePr>
            <a:graphic>
              <a:graphicData uri="http://schemas.openxmlformats.org/drawingml/2006/picture">
                <pic:pic>
                  <pic:nvPicPr>
                    <pic:cNvPr id="0" name="6-0_063.png"/>
                    <pic:cNvPicPr/>
                  </pic:nvPicPr>
                  <pic:blipFill>
                    <a:blip r:embed="rId80"/>
                    <a:stretch>
                      <a:fillRect/>
                    </a:stretch>
                  </pic:blipFill>
                  <pic:spPr>
                    <a:xfrm>
                      <a:off x="0" y="0"/>
                      <a:ext cx="5762625" cy="1965348"/>
                    </a:xfrm>
                    <a:prstGeom prst="rect"/>
                  </pic:spPr>
                </pic:pic>
              </a:graphicData>
            </a:graphic>
          </wp:inline>
        </w:drawing>
      </w:r>
    </w:p>
    <w:p>
      <w:pPr>
        <w:pStyle w:val="Titre2"/>
      </w:pPr>
      <w:r>
        <w:t>ET04 : L'accord de télétravail admettra dorénavant une liste "Récupération TT fixe sur absence" (Oui par défaut) : sur Non, une journée de télétravail fixe reste décomptée du compteur en cas d'absence (demandée ou médicale) ou de jour fermé [Mantis #19834]</w:t>
      </w:r>
    </w:p>
    <w:p>
      <w:r>
        <w:t>Temps de Travail / Administration &gt; Temps de travail &gt; Télé-travail, modification d'un accord : nouvelle liste « Récupération TT fixe sur absence », avec son aide :</w:t>
      </w:r>
    </w:p>
    <w:p>
      <w:r>
        <w:drawing>
          <wp:inline xmlns:a="http://schemas.openxmlformats.org/drawingml/2006/main" xmlns:pic="http://schemas.openxmlformats.org/drawingml/2006/picture">
            <wp:extent cx="5762625" cy="4831132"/>
            <wp:docPr id="1669210142" name="Picture 1669210142" descr="ET04 - illustration 1"/>
            <wp:cNvGraphicFramePr>
              <a:graphicFrameLocks noChangeAspect="1"/>
            </wp:cNvGraphicFramePr>
            <a:graphic>
              <a:graphicData uri="http://schemas.openxmlformats.org/drawingml/2006/picture">
                <pic:pic>
                  <pic:nvPicPr>
                    <pic:cNvPr id="0" name="6-0_064.png"/>
                    <pic:cNvPicPr/>
                  </pic:nvPicPr>
                  <pic:blipFill>
                    <a:blip r:embed="rId81"/>
                    <a:stretch>
                      <a:fillRect/>
                    </a:stretch>
                  </pic:blipFill>
                  <pic:spPr>
                    <a:xfrm>
                      <a:off x="0" y="0"/>
                      <a:ext cx="5762625" cy="4831132"/>
                    </a:xfrm>
                    <a:prstGeom prst="rect"/>
                  </pic:spPr>
                </pic:pic>
              </a:graphicData>
            </a:graphic>
          </wp:inline>
        </w:drawing>
      </w:r>
    </w:p>
    <w:p>
      <w:pPr>
        <w:pStyle w:val="Titre2"/>
      </w:pPr>
      <w:r>
        <w:t>CT01A : Le solde d'une demande d'absence pouvait devenir négatif : après la validation de plusieurs demandes à la suite, y compris pour plusieurs agents en même temps, le recalcul des droits pouvait en ignorer une partie, et le droit restant restait surévalué jusqu'au recalcul suivant. Chaque validation est désormais prise en compte dans le recalcul. [Mantis #19810]</w:t>
      </w:r>
    </w:p>
    <w:p>
      <w:r>
        <w:t>Point technique, sans illustration.</w:t>
      </w:r>
    </w:p>
    <w:p>
      <w:pPr>
        <w:pStyle w:val="Titre2"/>
      </w:pPr>
      <w:r>
        <w:t>CT01B : À l'enregistrement d'une demande d'absence (saisie, demi-journées, pointeuse, changement de type), le compteur du type demandé est recalculé (année de la demande et précédente) avant le contrôle du solde, après tout calcul des droits en cours. En cas de refus faute de solde, le formulaire réaffiche le solde à jour. [Mantis #19810]</w:t>
      </w:r>
    </w:p>
    <w:p>
      <w:r>
        <w:t>Exemple : un agent dispose de 2 jours de congé annuel restants, mais le dernier calcul de ses droits ne tient pas encore compte d'une demande validée entre-temps. À l'enregistrement d'une nouvelle demande de 2 jours, le compteur est d'abord recalculé : le solde réel (0 jour) est opposé à la demande, qui est refusée, et le formulaire réaffiche le solde à jour plutôt que l'ancien.</w:t>
      </w:r>
    </w:p>
    <w:p>
      <w:pPr>
        <w:pStyle w:val="Titre2"/>
      </w:pPr>
      <w:r>
        <w:t>CT01C : Une demande d'absence à cheval sur plusieurs périodes de référence est contrôlée sur le compteur de chaque période, pour la part qui y tombe ; elle était jusqu'ici contrôlée en totalité sur le compteur de la première période. [Mantis #19810]</w:t>
      </w:r>
    </w:p>
    <w:p>
      <w:r>
        <w:t>Point technique, sans illustration.</w:t>
      </w:r>
    </w:p>
    <w:p>
      <w:pPr>
        <w:pStyle w:val="Titre2"/>
      </w:pPr>
      <w:r>
        <w:t>CT01D : À la validation d'une demande d'absence par le responsable, avec ou sans circuit de validation, le compteur est recalculé de la même façon et la validation est refusée si la demande dépasse le droit restant (« Droit restant insuffisant : la demande ne peut pas être validée. »). Les demandes d'annulation ne sont pas concernées. [Mantis #19810]</w:t>
      </w:r>
    </w:p>
    <w:p>
      <w:r>
        <w:t>Point technique, sans illustration.</w:t>
      </w:r>
    </w:p>
    <w:p>
      <w:pPr>
        <w:pStyle w:val="Titre2"/>
      </w:pPr>
      <w:r>
        <w:t>CT01E : Un type d'absence dont le compteur de l'année a été ramené à zéro, puis supprimé par le calcul des droits, ne laisse plus passer de demande : le dépôt comme la validation sont refusés faute de solde. Un type d'absence sans compteur (option « Masquer le compteur ») reste utilisable sans contrôle de solde. [Mantis #19810]</w:t>
      </w:r>
    </w:p>
    <w:p>
      <w:r>
        <w:t>Point technique, sans illustration.</w:t>
      </w:r>
    </w:p>
    <w:p>
      <w:pPr>
        <w:pStyle w:val="Titre2"/>
      </w:pPr>
      <w:r>
        <w:t>CT01F : Le compteur n'est plus recalculé avant un contrôle de solde s'il vient de l'être (validité de 30 minutes, annulée par toute modification des droits de l'agent ou du paramétrage), ni pour un type d'absence sans compteur : dépôts et validations sont plus rapides. La modification d'une carrière ou d'une suspension relance aussi le recalcul de l'agent. [Mantis #19810]</w:t>
      </w:r>
    </w:p>
    <w:p>
      <w:r>
        <w:t>Point technique, sans illustration.</w:t>
      </w:r>
    </w:p>
    <w:p>
      <w:r>
        <w:br w:type="page"/>
      </w:r>
    </w:p>
    <w:p>
      <w:pPr>
        <w:pStyle w:val="Titre1"/>
      </w:pPr>
      <w:r>
        <w:t>GPEC</w:t>
      </w:r>
    </w:p>
    <w:p>
      <w:pPr>
        <w:pStyle w:val="Titre2"/>
      </w:pPr>
      <w:r>
        <w:t>EP01 : GPEC &gt; Postes &gt; Détails des Postes : le grade affiché pour un occupant est celui qu'il détenait à la fin de son affectation sur le poste (grade du jour si elle est en cours), à l'écran, dans la modification d'une affectation et dans les fiches de poste Word [Mantis #19568]</w:t>
      </w:r>
    </w:p>
    <w:p>
      <w:r>
        <w:t>Dans la liste des agents occupant un poste (GPEC &gt; Postes &gt; Détails des Postes), le grade affiché pour un agent est désormais celui qu'il détenait à la date de fin de son affectation sur ce poste, et non plus son grade actuel ; pour une affectation toujours en cours (sans date de fin), le grade à la date du jour continue d'être affiché. Le même affichage s'applique au formulaire de modification d'une affectation et aux fiches de poste générées au format Word (dont celles où le bloc des occupants est inséré dans un commentaire par la balise [OCCUPANTS]).</w:t>
      </w:r>
    </w:p>
    <w:p>
      <w:r>
        <w:drawing>
          <wp:inline xmlns:a="http://schemas.openxmlformats.org/drawingml/2006/main" xmlns:pic="http://schemas.openxmlformats.org/drawingml/2006/picture">
            <wp:extent cx="5762625" cy="2013157"/>
            <wp:docPr id="1669210143" name="Picture 1669210143" descr="EP01 - illustration 1"/>
            <wp:cNvGraphicFramePr>
              <a:graphicFrameLocks noChangeAspect="1"/>
            </wp:cNvGraphicFramePr>
            <a:graphic>
              <a:graphicData uri="http://schemas.openxmlformats.org/drawingml/2006/picture">
                <pic:pic>
                  <pic:nvPicPr>
                    <pic:cNvPr id="0" name="6-0_065.png"/>
                    <pic:cNvPicPr/>
                  </pic:nvPicPr>
                  <pic:blipFill>
                    <a:blip r:embed="rId82"/>
                    <a:stretch>
                      <a:fillRect/>
                    </a:stretch>
                  </pic:blipFill>
                  <pic:spPr>
                    <a:xfrm>
                      <a:off x="0" y="0"/>
                      <a:ext cx="5762625" cy="2013157"/>
                    </a:xfrm>
                    <a:prstGeom prst="rect"/>
                  </pic:spPr>
                </pic:pic>
              </a:graphicData>
            </a:graphic>
          </wp:inline>
        </w:drawing>
      </w:r>
    </w:p>
    <w:p>
      <w:r>
        <w:drawing>
          <wp:inline xmlns:a="http://schemas.openxmlformats.org/drawingml/2006/main" xmlns:pic="http://schemas.openxmlformats.org/drawingml/2006/picture">
            <wp:extent cx="5753100" cy="1617120"/>
            <wp:docPr id="1669210144" name="Picture 1669210144" descr="EP01 - illustration 2"/>
            <wp:cNvGraphicFramePr>
              <a:graphicFrameLocks noChangeAspect="1"/>
            </wp:cNvGraphicFramePr>
            <a:graphic>
              <a:graphicData uri="http://schemas.openxmlformats.org/drawingml/2006/picture">
                <pic:pic>
                  <pic:nvPicPr>
                    <pic:cNvPr id="0" name="6-0_066.png"/>
                    <pic:cNvPicPr/>
                  </pic:nvPicPr>
                  <pic:blipFill>
                    <a:blip r:embed="rId83"/>
                    <a:stretch>
                      <a:fillRect/>
                    </a:stretch>
                  </pic:blipFill>
                  <pic:spPr>
                    <a:xfrm>
                      <a:off x="0" y="0"/>
                      <a:ext cx="5753100" cy="1617120"/>
                    </a:xfrm>
                    <a:prstGeom prst="rect"/>
                  </pic:spPr>
                </pic:pic>
              </a:graphicData>
            </a:graphic>
          </wp:inline>
        </w:drawing>
      </w:r>
    </w:p>
    <w:p>
      <w:r>
        <w:br w:type="page"/>
      </w:r>
    </w:p>
    <w:p>
      <w:pPr>
        <w:pStyle w:val="Titre1"/>
      </w:pPr>
      <w:r>
        <w:t>Entretiens</w:t>
      </w:r>
    </w:p>
    <w:p>
      <w:pPr>
        <w:pStyle w:val="Titre2"/>
      </w:pPr>
      <w:r>
        <w:t>EE01 : Dans le détail d'un entretien (Evaluations &gt; Campagnes en cours et Historique, ainsi que l'écran des entretiens en libre-service), les étapes du circuit que l'utilisateur n'a pas le droit de consulter — confidentialité posée sur le circuit ou sur l'étape elle-même — ne se résument plus à la mention « Privée ». Elles se présentent désormais comme les autres étapes, avec leur libellé, leur état d'avancement et, au survol, le répondant principal et ses délégataires. Aucune action n'y est en revanche proposée : ni consultation du détail, ni édition PDF, ni modification — ces accès restent réservés aux répondants de l'étape, pour qui rien ne change. La règle déterminant qu'une étape est confidentielle est inchangée : seule sa présentation évolue [Mantis #19715]</w:t>
      </w:r>
    </w:p>
    <w:p>
      <w:r>
        <w:drawing>
          <wp:inline xmlns:a="http://schemas.openxmlformats.org/drawingml/2006/main" xmlns:pic="http://schemas.openxmlformats.org/drawingml/2006/picture">
            <wp:extent cx="5762625" cy="2029775"/>
            <wp:docPr id="1669210145" name="Picture 1669210145" descr="EE01 - illustration 1"/>
            <wp:cNvGraphicFramePr>
              <a:graphicFrameLocks noChangeAspect="1"/>
            </wp:cNvGraphicFramePr>
            <a:graphic>
              <a:graphicData uri="http://schemas.openxmlformats.org/drawingml/2006/picture">
                <pic:pic>
                  <pic:nvPicPr>
                    <pic:cNvPr id="0" name="6-0_067.png"/>
                    <pic:cNvPicPr/>
                  </pic:nvPicPr>
                  <pic:blipFill>
                    <a:blip r:embed="rId84"/>
                    <a:stretch>
                      <a:fillRect/>
                    </a:stretch>
                  </pic:blipFill>
                  <pic:spPr>
                    <a:xfrm>
                      <a:off x="0" y="0"/>
                      <a:ext cx="5762625" cy="2029775"/>
                    </a:xfrm>
                    <a:prstGeom prst="rect"/>
                  </pic:spPr>
                </pic:pic>
              </a:graphicData>
            </a:graphic>
          </wp:inline>
        </w:drawing>
      </w:r>
    </w:p>
    <w:p>
      <w:r>
        <w:t>Les étapes privées seront dorénavant « visibles » cependant, le détail et l’export PDF ne seront pas disponibles, sauf pour le répondant ou un délégataire.</w:t>
      </w:r>
    </w:p>
    <w:p>
      <w:pPr>
        <w:pStyle w:val="Titre2"/>
      </w:pPr>
      <w:r>
        <w:t>EE02 : Dans le paramétrage des processus d'entretien (Evaluations / Administration &gt; Evaluations &gt; Processus), l'évaluation des compétences d'une étape propose une quatrième option, « Limitée au poste avec niveaux », qui combine les deux options existantes : comme pour « Limitée au poste », ce sont les compétences du poste de l'agent (celles pour lesquelles un niveau requis est défini) qui sont proposées, sans ajout ni suppression possible ; comme pour « Ouverte », l'évaluateur choisit pour chacune l'un de ses niveaux possibles dans une liste déroulante, le commentaire de chaque niveau s'affichant sous son libellé. Une compétence laissée sans niveau est considérée comme non évaluée. Le tableau rappelle le niveau requis, le dernier niveau évalué et sa date ainsi que le niveau retenu à l'étape précédente, et un commentaire libre peut être saisi pour chaque compétence ; l'édition PDF de l'entretien reprend ces informations. Seuls les niveaux possibles d'une compétence du poste sont acceptés à l'enregistrement. Le paramètre est désormais accompagné d'une aide décrivant les quatre options. Pour l'option « Limitée au poste », une compétence évaluée à un niveau supérieur au niveau requis (par exemple recopié d'une étape évaluée par niveau) est désormais considérée comme atteinte, et ce niveau est conservé à l'enregistrement au lieu d'être effacé ; les autres options sont inchangées [Mantis #19839]</w:t>
      </w:r>
    </w:p>
    <w:p>
      <w:r>
        <w:t>Paramétrage de l’option dans le processus :</w:t>
      </w:r>
    </w:p>
    <w:p>
      <w:r>
        <w:drawing>
          <wp:inline xmlns:a="http://schemas.openxmlformats.org/drawingml/2006/main" xmlns:pic="http://schemas.openxmlformats.org/drawingml/2006/picture">
            <wp:extent cx="5762625" cy="3187243"/>
            <wp:docPr id="1669210146" name="Picture 1669210146" descr="EE02 - illustration 1"/>
            <wp:cNvGraphicFramePr>
              <a:graphicFrameLocks noChangeAspect="1"/>
            </wp:cNvGraphicFramePr>
            <a:graphic>
              <a:graphicData uri="http://schemas.openxmlformats.org/drawingml/2006/picture">
                <pic:pic>
                  <pic:nvPicPr>
                    <pic:cNvPr id="0" name="6-0_068.png"/>
                    <pic:cNvPicPr/>
                  </pic:nvPicPr>
                  <pic:blipFill>
                    <a:blip r:embed="rId85"/>
                    <a:stretch>
                      <a:fillRect/>
                    </a:stretch>
                  </pic:blipFill>
                  <pic:spPr>
                    <a:xfrm>
                      <a:off x="0" y="0"/>
                      <a:ext cx="5762625" cy="3187243"/>
                    </a:xfrm>
                    <a:prstGeom prst="rect"/>
                  </pic:spPr>
                </pic:pic>
              </a:graphicData>
            </a:graphic>
          </wp:inline>
        </w:drawing>
      </w:r>
    </w:p>
    <w:p>
      <w:r>
        <w:t>Affichage de l’évaluation dans une étape de l’entretien d’un agent :</w:t>
      </w:r>
    </w:p>
    <w:p>
      <w:r>
        <w:drawing>
          <wp:inline xmlns:a="http://schemas.openxmlformats.org/drawingml/2006/main" xmlns:pic="http://schemas.openxmlformats.org/drawingml/2006/picture">
            <wp:extent cx="5762625" cy="1341174"/>
            <wp:docPr id="1669210147" name="Picture 1669210147" descr="EE02 - illustration 2"/>
            <wp:cNvGraphicFramePr>
              <a:graphicFrameLocks noChangeAspect="1"/>
            </wp:cNvGraphicFramePr>
            <a:graphic>
              <a:graphicData uri="http://schemas.openxmlformats.org/drawingml/2006/picture">
                <pic:pic>
                  <pic:nvPicPr>
                    <pic:cNvPr id="0" name="6-0_069.png"/>
                    <pic:cNvPicPr/>
                  </pic:nvPicPr>
                  <pic:blipFill>
                    <a:blip r:embed="rId86"/>
                    <a:stretch>
                      <a:fillRect/>
                    </a:stretch>
                  </pic:blipFill>
                  <pic:spPr>
                    <a:xfrm>
                      <a:off x="0" y="0"/>
                      <a:ext cx="5762625" cy="1341174"/>
                    </a:xfrm>
                    <a:prstGeom prst="rect"/>
                  </pic:spPr>
                </pic:pic>
              </a:graphicData>
            </a:graphic>
          </wp:inline>
        </w:drawing>
      </w:r>
    </w:p>
    <w:p>
      <w:pPr>
        <w:pStyle w:val="Titre2"/>
      </w:pPr>
      <w:r>
        <w:t>CE01 : Dans la liste des enveloppes réponses d'une campagne (Evaluations &gt; Campagnes, modification de masse), l'ajout à l'historique des entretiens est désormais réservé aux étapes terminées : une étape à faire, en cours ou non réalisée ne pouvait jusqu'ici être figée dans l'historique alors que son contenu était encore susceptible d'évoluer. Si la sélection en contient, l'utilisateur en est averti avant l'envoi ; côté serveur, ces enveloppes sont écartées, un message en indique le nombre, et les étapes terminées de la même sélection sont bien ajoutées. L'édition PDF d'une étape reste, elle, possible à tout moment, depuis le détail comme depuis la liste [Mantis #19802, #16194]</w:t>
      </w:r>
    </w:p>
    <w:p>
      <w:r>
        <w:drawing>
          <wp:inline xmlns:a="http://schemas.openxmlformats.org/drawingml/2006/main" xmlns:pic="http://schemas.openxmlformats.org/drawingml/2006/picture">
            <wp:extent cx="2257425" cy="1074661"/>
            <wp:docPr id="1669210148" name="Picture 1669210148" descr="CE01 - illustration 1"/>
            <wp:cNvGraphicFramePr>
              <a:graphicFrameLocks noChangeAspect="1"/>
            </wp:cNvGraphicFramePr>
            <a:graphic>
              <a:graphicData uri="http://schemas.openxmlformats.org/drawingml/2006/picture">
                <pic:pic>
                  <pic:nvPicPr>
                    <pic:cNvPr id="0" name="6-0_070.png"/>
                    <pic:cNvPicPr/>
                  </pic:nvPicPr>
                  <pic:blipFill>
                    <a:blip r:embed="rId87"/>
                    <a:stretch>
                      <a:fillRect/>
                    </a:stretch>
                  </pic:blipFill>
                  <pic:spPr>
                    <a:xfrm>
                      <a:off x="0" y="0"/>
                      <a:ext cx="2257425" cy="1074661"/>
                    </a:xfrm>
                    <a:prstGeom prst="rect"/>
                  </pic:spPr>
                </pic:pic>
              </a:graphicData>
            </a:graphic>
          </wp:inline>
        </w:drawing>
      </w:r>
    </w:p>
    <w:p>
      <w:pPr>
        <w:pStyle w:val="Titre2"/>
      </w:pPr>
      <w:r>
        <w:t>CE02 : Dans le détail d'un entretien et son édition PDF, pour une étape dont l'évaluation des compétences est « Ouverte », la colonne du niveau attendu par le poste restait toujours vide, même lorsque le poste de l'agent disposait d'un recalibrage validé portant sur la compétence ; elle affiche désormais le niveau attendu issu du dernier recalibrage validé à la date de l'entretien, comme pour l'option « Limitée au poste » [Pas de Mantis]</w:t>
      </w:r>
    </w:p>
    <w:p>
      <w:r>
        <w:t>Entretiens &gt; Campagnes, détail d'un entretien, bloc « Compétences » d'une étape dont l'évaluation des compétences est « Ouverte » : colonne « Attendu poste », alimentée par le dernier recalibrage validé du poste à la date de l'entretien :</w:t>
      </w:r>
    </w:p>
    <w:p>
      <w:r>
        <w:drawing>
          <wp:inline xmlns:a="http://schemas.openxmlformats.org/drawingml/2006/main" xmlns:pic="http://schemas.openxmlformats.org/drawingml/2006/picture">
            <wp:extent cx="5762625" cy="1774467"/>
            <wp:docPr id="1669210149" name="Picture 1669210149" descr="CE02 - illustration 1"/>
            <wp:cNvGraphicFramePr>
              <a:graphicFrameLocks noChangeAspect="1"/>
            </wp:cNvGraphicFramePr>
            <a:graphic>
              <a:graphicData uri="http://schemas.openxmlformats.org/drawingml/2006/picture">
                <pic:pic>
                  <pic:nvPicPr>
                    <pic:cNvPr id="0" name="6-0_071.png"/>
                    <pic:cNvPicPr/>
                  </pic:nvPicPr>
                  <pic:blipFill>
                    <a:blip r:embed="rId88"/>
                    <a:stretch>
                      <a:fillRect/>
                    </a:stretch>
                  </pic:blipFill>
                  <pic:spPr>
                    <a:xfrm>
                      <a:off x="0" y="0"/>
                      <a:ext cx="5762625" cy="1774467"/>
                    </a:xfrm>
                    <a:prstGeom prst="rect"/>
                  </pic:spPr>
                </pic:pic>
              </a:graphicData>
            </a:graphic>
          </wp:inline>
        </w:drawing>
      </w:r>
    </w:p>
    <w:p>
      <w:r>
        <w:br w:type="page"/>
      </w:r>
    </w:p>
    <w:p>
      <w:pPr>
        <w:pStyle w:val="Titre1"/>
      </w:pPr>
      <w:r>
        <w:t>Formation</w:t>
      </w:r>
    </w:p>
    <w:p>
      <w:pPr>
        <w:pStyle w:val="Titre2"/>
      </w:pPr>
      <w:r>
        <w:t>EF01 : Retrait de l'ancienne interface d'échange avec le LMS EducExpert (XML-RPC), obsolète et porteuse d'une vulnérabilité, avec ses écrans d'administration ; les intégrations e-learning actuelles (Disegno/Citrus, Moodle, APIS) sont inchangées [Pas de Mantis]</w:t>
      </w:r>
    </w:p>
    <w:p>
      <w:r>
        <w:t>Retrait de l'ancienne interface d'échange avec le LMS EducExpert (protocole XML-RPC), obsolète, non maintenue et porteuse d'une vulnérabilité de sécurité : les écrans d'administration et les données de correspondance propres à cette interface sont supprimés. Les intégrations e-learning actuelles (Disegno/Citrus en REST, Moodle, APIS) et le suivi des progressions restent inchangés.</w:t>
      </w:r>
    </w:p>
    <w:p>
      <w:r>
        <w:t>Point technique : retrait d'une interface obsolète, sans écran de remplacement.</w:t>
      </w:r>
    </w:p>
    <w:p>
      <w:pPr>
        <w:pStyle w:val="Titre2"/>
      </w:pPr>
      <w:r>
        <w:t>EF02 : Écrans de pré-requis d'un modèle de stage et d'une session harmonisés : présentation et comportement identiques, combinaison des pré-requis d'emploi initialisée à « ET », intitulés des pré-requis médicaux visibles en consultation [Mantis #6612]</w:t>
      </w:r>
    </w:p>
    <w:p>
      <w:r>
        <w:t>Harmonisation des écrans de pré-requis d'un modèle de stage et d'une session de stage : leur présentation et leur comportement sont désormais strictement identiques. Le type de combinaison (« ET » / « OU ») des pré-requis d'emploi est initialisé par défaut sur « ET » sur les deux écrans, et les intitulés « Stagiaires » / « Intervenants » des pré-requis médicaux s'affichent aussi en consultation</w:t>
      </w:r>
    </w:p>
    <w:p>
      <w:r>
        <w:drawing>
          <wp:inline xmlns:a="http://schemas.openxmlformats.org/drawingml/2006/main" xmlns:pic="http://schemas.openxmlformats.org/drawingml/2006/picture">
            <wp:extent cx="5762625" cy="1964133"/>
            <wp:docPr id="1669210150" name="Picture 1669210150" descr="EF02 - illustration 1"/>
            <wp:cNvGraphicFramePr>
              <a:graphicFrameLocks noChangeAspect="1"/>
            </wp:cNvGraphicFramePr>
            <a:graphic>
              <a:graphicData uri="http://schemas.openxmlformats.org/drawingml/2006/picture">
                <pic:pic>
                  <pic:nvPicPr>
                    <pic:cNvPr id="0" name="6-0_072.png"/>
                    <pic:cNvPicPr/>
                  </pic:nvPicPr>
                  <pic:blipFill>
                    <a:blip r:embed="rId89"/>
                    <a:stretch>
                      <a:fillRect/>
                    </a:stretch>
                  </pic:blipFill>
                  <pic:spPr>
                    <a:xfrm>
                      <a:off x="0" y="0"/>
                      <a:ext cx="5762625" cy="1964133"/>
                    </a:xfrm>
                    <a:prstGeom prst="rect"/>
                  </pic:spPr>
                </pic:pic>
              </a:graphicData>
            </a:graphic>
          </wp:inline>
        </w:drawing>
      </w:r>
    </w:p>
    <w:p>
      <w:pPr>
        <w:pStyle w:val="Titre2"/>
      </w:pPr>
      <w:r>
        <w:t>EF03 : Pré-requis (UV, emplois, grades, affectations, aptitudes médicales) sur les postes de l'équipe pédagogique, du modèle de stage à la session. Mode « OUI+PREREQ » du libre-service formateurs : seuls les postes dont l'agent satisfait les pré-requis lui sont proposés [Mantis #6612]</w:t>
      </w:r>
    </w:p>
    <w:p>
      <w:r>
        <w:t>Possibilité de définir des pré-requis (unités de valeur, emplois, grades, affectations, aptitudes médicales) sur les postes de l'équipe pédagogique, au niveau du modèle de stage comme de la session, avec report automatique du modèle vers la session à sa création. Un nouveau mode « OUI+PREREQ » du paramètre « Libre-service - Formateurs par équipe pédagogique » restreint alors, dans le libre-service candidatures formateurs, les postes proposés à l'agent à ceux dont il satisfait les pré-requis (les postes non éligibles sont masqués) ; dans ce mode, les pré-requis médicaux des intervenants se saisissent sur l'équipe pédagogique plutôt que sur le stage ou la session. L'écran des intervenants d'une session affiche également, pour chaque intervenant, un marqueur « PR » signalant qu'il ne satisfait pas les pré-requis de son poste (avec le détail des pré-requis non validés au survol et en fenêtre dédiée au clic)</w:t>
      </w:r>
    </w:p>
    <w:p>
      <w:r>
        <w:t>Équipe pédagogique d'une session, avec les types de pré-requis par poste :</w:t>
      </w:r>
    </w:p>
    <w:p>
      <w:r>
        <w:drawing>
          <wp:inline xmlns:a="http://schemas.openxmlformats.org/drawingml/2006/main" xmlns:pic="http://schemas.openxmlformats.org/drawingml/2006/picture">
            <wp:extent cx="5762625" cy="2104428"/>
            <wp:docPr id="1669210151" name="Picture 1669210151" descr="EF03 - illustration 1"/>
            <wp:cNvGraphicFramePr>
              <a:graphicFrameLocks noChangeAspect="1"/>
            </wp:cNvGraphicFramePr>
            <a:graphic>
              <a:graphicData uri="http://schemas.openxmlformats.org/drawingml/2006/picture">
                <pic:pic>
                  <pic:nvPicPr>
                    <pic:cNvPr id="0" name="6-0_073.png"/>
                    <pic:cNvPicPr/>
                  </pic:nvPicPr>
                  <pic:blipFill>
                    <a:blip r:embed="rId90"/>
                    <a:stretch>
                      <a:fillRect/>
                    </a:stretch>
                  </pic:blipFill>
                  <pic:spPr>
                    <a:xfrm>
                      <a:off x="0" y="0"/>
                      <a:ext cx="5762625" cy="2104428"/>
                    </a:xfrm>
                    <a:prstGeom prst="rect"/>
                  </pic:spPr>
                </pic:pic>
              </a:graphicData>
            </a:graphic>
          </wp:inline>
        </w:drawing>
      </w:r>
    </w:p>
    <w:p>
      <w:pPr>
        <w:pStyle w:val="Titre2"/>
      </w:pPr>
      <w:r>
        <w:t>EF04 : Écran des coûts d'une session (vacations et indemnités des encadrants) : détail des heures de présence de chaque formateur par convention de prise en charge et taux horaire, si le paramètre "Sessions - Présences détaillés" n'est pas à NON [Mantis #19530]</w:t>
      </w:r>
    </w:p>
    <w:p>
      <w:r>
        <w:t>Sur l'écran des coûts d'une session (onglet des vacations et indemnités des encadrants), le tableau des formateurs affiche désormais, sous chaque formateur, le détail de ses heures de présence regroupé par convention de prise en charge et par taux horaire (durée cumulée, taux et montant). Cet affichage complémentaire n'apparaît que lorsque le paramètre "Sessions - Présences détaillés" n'est pas sur "NON"</w:t>
      </w:r>
    </w:p>
    <w:p>
      <w:r>
        <w:drawing>
          <wp:inline xmlns:a="http://schemas.openxmlformats.org/drawingml/2006/main" xmlns:pic="http://schemas.openxmlformats.org/drawingml/2006/picture">
            <wp:extent cx="5762625" cy="2174575"/>
            <wp:docPr id="1669210152" name="Picture 1669210152" descr="EF04 - illustration 1"/>
            <wp:cNvGraphicFramePr>
              <a:graphicFrameLocks noChangeAspect="1"/>
            </wp:cNvGraphicFramePr>
            <a:graphic>
              <a:graphicData uri="http://schemas.openxmlformats.org/drawingml/2006/picture">
                <pic:pic>
                  <pic:nvPicPr>
                    <pic:cNvPr id="0" name="6-0_074.png"/>
                    <pic:cNvPicPr/>
                  </pic:nvPicPr>
                  <pic:blipFill>
                    <a:blip r:embed="rId91"/>
                    <a:stretch>
                      <a:fillRect/>
                    </a:stretch>
                  </pic:blipFill>
                  <pic:spPr>
                    <a:xfrm>
                      <a:off x="0" y="0"/>
                      <a:ext cx="5762625" cy="2174575"/>
                    </a:xfrm>
                    <a:prstGeom prst="rect"/>
                  </pic:spPr>
                </pic:pic>
              </a:graphicData>
            </a:graphic>
          </wp:inline>
        </w:drawing>
      </w:r>
    </w:p>
    <w:p>
      <w:pPr>
        <w:pStyle w:val="Titre2"/>
      </w:pPr>
      <w:r>
        <w:t>EF05 : Transition graphique - Evolution des jours de segmentation des sessions de stage en un tableau à double entrée (jour de la semaine et numéro de la semaine), avec la possibilité d'adapter la date de fin en fonction des jours de la semaine et fermés [Mantis #19383]</w:t>
      </w:r>
    </w:p>
    <w:p>
      <w:r>
        <w:drawing>
          <wp:inline xmlns:a="http://schemas.openxmlformats.org/drawingml/2006/main" xmlns:pic="http://schemas.openxmlformats.org/drawingml/2006/picture">
            <wp:extent cx="5762625" cy="1227583"/>
            <wp:docPr id="1669210153" name="Picture 1669210153" descr="EF05 - illustration 1"/>
            <wp:cNvGraphicFramePr>
              <a:graphicFrameLocks noChangeAspect="1"/>
            </wp:cNvGraphicFramePr>
            <a:graphic>
              <a:graphicData uri="http://schemas.openxmlformats.org/drawingml/2006/picture">
                <pic:pic>
                  <pic:nvPicPr>
                    <pic:cNvPr id="0" name="6-0_075.png"/>
                    <pic:cNvPicPr/>
                  </pic:nvPicPr>
                  <pic:blipFill>
                    <a:blip r:embed="rId92"/>
                    <a:stretch>
                      <a:fillRect/>
                    </a:stretch>
                  </pic:blipFill>
                  <pic:spPr>
                    <a:xfrm>
                      <a:off x="0" y="0"/>
                      <a:ext cx="5762625" cy="1227583"/>
                    </a:xfrm>
                    <a:prstGeom prst="rect"/>
                  </pic:spPr>
                </pic:pic>
              </a:graphicData>
            </a:graphic>
          </wp:inline>
        </w:drawing>
      </w:r>
    </w:p>
    <w:p>
      <w:pPr>
        <w:pStyle w:val="Titre2"/>
      </w:pPr>
      <w:r>
        <w:t>EF06 : Les réponses libres saisies dans un questionnaire qualité conservent désormais les zéros non significatifs : une réponse saisie sous la forme « 007 » (matricule, code, numéro…) était auparavant enregistrée « 7 » [Mantis #19658]</w:t>
      </w:r>
    </w:p>
    <w:p>
      <w:r>
        <w:drawing>
          <wp:inline xmlns:a="http://schemas.openxmlformats.org/drawingml/2006/main" xmlns:pic="http://schemas.openxmlformats.org/drawingml/2006/picture">
            <wp:extent cx="5762625" cy="2346107"/>
            <wp:docPr id="1669210154" name="Picture 1669210154" descr="EF06 - illustration 1"/>
            <wp:cNvGraphicFramePr>
              <a:graphicFrameLocks noChangeAspect="1"/>
            </wp:cNvGraphicFramePr>
            <a:graphic>
              <a:graphicData uri="http://schemas.openxmlformats.org/drawingml/2006/picture">
                <pic:pic>
                  <pic:nvPicPr>
                    <pic:cNvPr id="0" name="6-0_076.png"/>
                    <pic:cNvPicPr/>
                  </pic:nvPicPr>
                  <pic:blipFill>
                    <a:blip r:embed="rId93"/>
                    <a:stretch>
                      <a:fillRect/>
                    </a:stretch>
                  </pic:blipFill>
                  <pic:spPr>
                    <a:xfrm>
                      <a:off x="0" y="0"/>
                      <a:ext cx="5762625" cy="2346107"/>
                    </a:xfrm>
                    <a:prstGeom prst="rect"/>
                  </pic:spPr>
                </pic:pic>
              </a:graphicData>
            </a:graphic>
          </wp:inline>
        </w:drawing>
      </w:r>
    </w:p>
    <w:p>
      <w:pPr>
        <w:pStyle w:val="Titre2"/>
      </w:pPr>
      <w:r>
        <w:t>EF07 : Candidats stagiaires d'une session : avec le modèle de feuille de présence « CNPF », la colonne du grade est remplacée par la fonction de l'affectation en vigueur à la fin de la session, à l'écran comme dans l'export tableur [Mantis #19656]</w:t>
      </w:r>
    </w:p>
    <w:p>
      <w:r>
        <w:t>Sur l'écran des candidats stagiaires d'une session (Formation &gt; Sessions &gt; Détails des Sessions &gt; Candidats Stagiaires), la colonne du grade est remplacée par la fonction de l'affectation de l'agent lorsque le paramètre « Feuilles de présence - Modèle » vaut « CNPF ». Le remplacement vaut à l'écran comme dans l'export tableur, et la colonne reste triable. La fonction affichée est celle du référentiel des fonctions d'affectation, prise sur l'affectation en vigueur à la date de fin de la session ; pour tous les autres modèles de feuille de présence, la colonne du grade est inchangée</w:t>
      </w:r>
    </w:p>
    <w:p>
      <w:r>
        <w:drawing>
          <wp:inline xmlns:a="http://schemas.openxmlformats.org/drawingml/2006/main" xmlns:pic="http://schemas.openxmlformats.org/drawingml/2006/picture">
            <wp:extent cx="5762625" cy="2722947"/>
            <wp:docPr id="1669210155" name="Picture 1669210155" descr="EF07 - illustration 1"/>
            <wp:cNvGraphicFramePr>
              <a:graphicFrameLocks noChangeAspect="1"/>
            </wp:cNvGraphicFramePr>
            <a:graphic>
              <a:graphicData uri="http://schemas.openxmlformats.org/drawingml/2006/picture">
                <pic:pic>
                  <pic:nvPicPr>
                    <pic:cNvPr id="0" name="6-0_077.png"/>
                    <pic:cNvPicPr/>
                  </pic:nvPicPr>
                  <pic:blipFill>
                    <a:blip r:embed="rId94"/>
                    <a:stretch>
                      <a:fillRect/>
                    </a:stretch>
                  </pic:blipFill>
                  <pic:spPr>
                    <a:xfrm>
                      <a:off x="0" y="0"/>
                      <a:ext cx="5762625" cy="2722947"/>
                    </a:xfrm>
                    <a:prstGeom prst="rect"/>
                  </pic:spPr>
                </pic:pic>
              </a:graphicData>
            </a:graphic>
          </wp:inline>
        </w:drawing>
      </w:r>
    </w:p>
    <w:p>
      <w:r>
        <w:drawing>
          <wp:inline xmlns:a="http://schemas.openxmlformats.org/drawingml/2006/main" xmlns:pic="http://schemas.openxmlformats.org/drawingml/2006/picture">
            <wp:extent cx="3857625" cy="2362422"/>
            <wp:docPr id="1669210156" name="Picture 1669210156" descr="EF07 - illustration 2"/>
            <wp:cNvGraphicFramePr>
              <a:graphicFrameLocks noChangeAspect="1"/>
            </wp:cNvGraphicFramePr>
            <a:graphic>
              <a:graphicData uri="http://schemas.openxmlformats.org/drawingml/2006/picture">
                <pic:pic>
                  <pic:nvPicPr>
                    <pic:cNvPr id="0" name="6-0_078.png"/>
                    <pic:cNvPicPr/>
                  </pic:nvPicPr>
                  <pic:blipFill>
                    <a:blip r:embed="rId95"/>
                    <a:stretch>
                      <a:fillRect/>
                    </a:stretch>
                  </pic:blipFill>
                  <pic:spPr>
                    <a:xfrm>
                      <a:off x="0" y="0"/>
                      <a:ext cx="3857625" cy="2362422"/>
                    </a:xfrm>
                    <a:prstGeom prst="rect"/>
                  </pic:spPr>
                </pic:pic>
              </a:graphicData>
            </a:graphic>
          </wp:inline>
        </w:drawing>
      </w:r>
    </w:p>
    <w:p>
      <w:pPr>
        <w:pStyle w:val="Titre2"/>
      </w:pPr>
      <w:r>
        <w:t>CF01 : Correction de l'affichage des pré-requis médicaux agrégés en consultation sur l'écran des pré-requis d'un modèle de stage : le bloc pouvait ne pas s'afficher [Mantis #6612]</w:t>
      </w:r>
    </w:p>
    <w:p>
      <w:r>
        <w:t>Pré-requis d'un modèle de stage, avec le bloc des pré-requis médicaux agrégés :</w:t>
      </w:r>
    </w:p>
    <w:p>
      <w:r>
        <w:drawing>
          <wp:inline xmlns:a="http://schemas.openxmlformats.org/drawingml/2006/main" xmlns:pic="http://schemas.openxmlformats.org/drawingml/2006/picture">
            <wp:extent cx="5762625" cy="1766937"/>
            <wp:docPr id="1669210157" name="Picture 1669210157" descr="CF01 - illustration 1"/>
            <wp:cNvGraphicFramePr>
              <a:graphicFrameLocks noChangeAspect="1"/>
            </wp:cNvGraphicFramePr>
            <a:graphic>
              <a:graphicData uri="http://schemas.openxmlformats.org/drawingml/2006/picture">
                <pic:pic>
                  <pic:nvPicPr>
                    <pic:cNvPr id="0" name="6-0_079.png"/>
                    <pic:cNvPicPr/>
                  </pic:nvPicPr>
                  <pic:blipFill>
                    <a:blip r:embed="rId96"/>
                    <a:stretch>
                      <a:fillRect/>
                    </a:stretch>
                  </pic:blipFill>
                  <pic:spPr>
                    <a:xfrm>
                      <a:off x="0" y="0"/>
                      <a:ext cx="5762625" cy="1766937"/>
                    </a:xfrm>
                    <a:prstGeom prst="rect"/>
                  </pic:spPr>
                </pic:pic>
              </a:graphicData>
            </a:graphic>
          </wp:inline>
        </w:drawing>
      </w:r>
    </w:p>
    <w:p>
      <w:pPr>
        <w:pStyle w:val="Titre2"/>
      </w:pPr>
      <w:r>
        <w:t>CF02 : Fiche de liaison logistique d'une session (atelier, restauration / hébergement) : deux éditions lancées simultanément par deux utilisateurs pouvaient mélanger les informations d'en-tête de leurs sessions ; chaque édition a désormais ses propres données [Pas de Mantis]</w:t>
      </w:r>
    </w:p>
    <w:p>
      <w:r>
        <w:t>Correction d'un risque de mélange d'informations sur la fiche de liaison logistique (fiche de liaison atelier et fiche restauration / hébergement) d'une session : les données rappelées en en-tête (intitulé de la session, lieu ou organisme, interlocuteur, dates, effectifs, observations) étaient conservées globalement et non par édition, si bien que deux éditions lancées simultanément par deux utilisateurs pouvaient afficher les informations de la session de l'autre. Chaque édition dispose désormais de ses propres données</w:t>
      </w:r>
    </w:p>
    <w:p>
      <w:r>
        <w:t>Point technique, sans changement visible : chaque édition dispose désormais de ses propres données.</w:t>
      </w:r>
    </w:p>
    <w:p>
      <w:pPr>
        <w:pStyle w:val="Titre2"/>
      </w:pPr>
      <w:r>
        <w:t>CF03A : Correction du "Tableau de bord du centre" (Formation &gt; Gestion des FMA), qui se rechargeait en boucle et devenait inutilisable dès que des FMA étaient définies ; seule une modification de l'utilisateur relance désormais la recherche [Mantis #19028]</w:t>
      </w:r>
    </w:p>
    <w:p>
      <w:r>
        <w:t>Correction du "Tableau de bord du centre" (Formation &gt; Gestion des FMA) qui se rechargeait en boucle et devenait inutilisable — aucune sélection ni aucun clic possibles — dès lors que des FMA étaient définies : l'initialisation du filtre des FMA provoquait à tort une soumission automatique du formulaire à chaque chargement de la page. Seule une modification faite par l'utilisateur (année, service, FMA, agent…) relance désormais la recherche</w:t>
      </w:r>
    </w:p>
    <w:p>
      <w:r>
        <w:drawing>
          <wp:inline xmlns:a="http://schemas.openxmlformats.org/drawingml/2006/main" xmlns:pic="http://schemas.openxmlformats.org/drawingml/2006/picture">
            <wp:extent cx="5762625" cy="3314474"/>
            <wp:docPr id="1669210158" name="Picture 1669210158" descr="CF03A - illustration 1"/>
            <wp:cNvGraphicFramePr>
              <a:graphicFrameLocks noChangeAspect="1"/>
            </wp:cNvGraphicFramePr>
            <a:graphic>
              <a:graphicData uri="http://schemas.openxmlformats.org/drawingml/2006/picture">
                <pic:pic>
                  <pic:nvPicPr>
                    <pic:cNvPr id="0" name="6-0_080.png"/>
                    <pic:cNvPicPr/>
                  </pic:nvPicPr>
                  <pic:blipFill>
                    <a:blip r:embed="rId97"/>
                    <a:stretch>
                      <a:fillRect/>
                    </a:stretch>
                  </pic:blipFill>
                  <pic:spPr>
                    <a:xfrm>
                      <a:off x="0" y="0"/>
                      <a:ext cx="5762625" cy="3314474"/>
                    </a:xfrm>
                    <a:prstGeom prst="rect"/>
                  </pic:spPr>
                </pic:pic>
              </a:graphicData>
            </a:graphic>
          </wp:inline>
        </w:drawing>
      </w:r>
    </w:p>
    <w:p>
      <w:pPr>
        <w:pStyle w:val="Titre2"/>
      </w:pPr>
      <w:r>
        <w:t>CF03B : Le "Tableau de bord du centre" (Formation &gt; Gestion des FMA) restait vide pour les utilisateurs à périmètre départemental, ce périmètre n'étant plus reconnu ; corrigé, ainsi que l'écran d'indemnisation des FMA [Mantis #19028, #19884]</w:t>
      </w:r>
    </w:p>
    <w:p>
      <w:r>
        <w:t>Le "Tableau de bord du centre" (Formation &gt; Gestion des FMA) restait vide — graphiques à zéro, quelle que soit l'année ou le service choisi — pour les utilisateurs disposant d'un périmètre départemental : ce périmètre n'était plus reconnu d'une page à l'autre, et les résultats étaient filtrés à tort sur une liste de services vide. L'écran d'indemnisation des FMA, qui s'appuie sur le même périmètre, en bénéficie également</w:t>
      </w:r>
    </w:p>
    <w:p>
      <w:r>
        <w:drawing>
          <wp:inline xmlns:a="http://schemas.openxmlformats.org/drawingml/2006/main" xmlns:pic="http://schemas.openxmlformats.org/drawingml/2006/picture">
            <wp:extent cx="5762625" cy="3314474"/>
            <wp:docPr id="1669210159" name="Picture 1669210159" descr="CF03B - illustration 1"/>
            <wp:cNvGraphicFramePr>
              <a:graphicFrameLocks noChangeAspect="1"/>
            </wp:cNvGraphicFramePr>
            <a:graphic>
              <a:graphicData uri="http://schemas.openxmlformats.org/drawingml/2006/picture">
                <pic:pic>
                  <pic:nvPicPr>
                    <pic:cNvPr id="0" name="6-0_080.png"/>
                    <pic:cNvPicPr/>
                  </pic:nvPicPr>
                  <pic:blipFill>
                    <a:blip r:embed="rId97"/>
                    <a:stretch>
                      <a:fillRect/>
                    </a:stretch>
                  </pic:blipFill>
                  <pic:spPr>
                    <a:xfrm>
                      <a:off x="0" y="0"/>
                      <a:ext cx="5762625" cy="3314474"/>
                    </a:xfrm>
                    <a:prstGeom prst="rect"/>
                  </pic:spPr>
                </pic:pic>
              </a:graphicData>
            </a:graphic>
          </wp:inline>
        </w:drawing>
      </w:r>
    </w:p>
    <w:p>
      <w:r>
        <w:t>Corrections multiples sur ce même écran qui restait vide.</w:t>
      </w:r>
    </w:p>
    <w:p>
      <w:pPr>
        <w:pStyle w:val="Titre2"/>
      </w:pPr>
      <w:r>
        <w:t>CF04A : Rétablissement de la restriction au périmètre de l'utilisateur sur les écrans de validation des candidatures et des demandes de formation : consultation et décisions ne portent plus que sur les candidatures de son périmètre, comme sur les autres écrans [Pas de Mantis]</w:t>
      </w:r>
    </w:p>
    <w:p>
      <w:r>
        <w:t>Rétablissement de la restriction au périmètre de l'utilisateur sur les écrans de validation des candidatures et des demandes de formation. Les listes des autres candidatures et des autres demandes d'un agent, le commentaire et les disponibilités d'une demande, ainsi que la prise de décision (montée ou descente de priorité, avis d'un niveau de validation, acceptation, transmission, rattrapage, remise en attente, rejet) ne portent désormais que sur les candidatures relevant du périmètre de l'utilisateur, selon la même règle que les autres écrans de candidatures — périmètre agent et/ou session, listes de grades et d'emplois, niveau d'accès validation. Cette restriction, présente à l'origine, avait été désactivée ; elle est rétablie à la demande. Les disponibilités choisies restaient par ailleurs affichées alors même que la candidature n'était pas consultable. Le décompte des candidatures d'une session et la proposition du prochain numéro de diplôme, qui ne comportent aucune donnée nominative, ne sont volontairement pas restreints</w:t>
      </w:r>
    </w:p>
    <w:p>
      <w:r>
        <w:t>Point technique de renforcement de la sécurité.</w:t>
      </w:r>
    </w:p>
    <w:p>
      <w:pPr>
        <w:pStyle w:val="Titre2"/>
      </w:pPr>
      <w:r>
        <w:t>CF04B : Candidatures de formateur d'une session : acceptation, refus, modification et suppression vérifient l'appartenance à la session et au périmètre de l'utilisateur (sauf « Candidatures - Visibilité ouverte » à OUI ou accès départemental complet) [Pas de Mantis]</w:t>
      </w:r>
    </w:p>
    <w:p>
      <w:r>
        <w:t>Même restriction sur les candidatures de formateur d'une session : l'acceptation, le refus, le changement de type ou de qualification et la suppression vérifient désormais que la candidature traitée appartient bien à la session affichée, et qu'elle relève du périmètre de l'utilisateur. La vérification du périmètre est omise — et seul le rattachement à la session reste exigé — lorsque le paramètre « Candidatures - Visibilité ouverte » est sur « OUI » ou que l'utilisateur dispose de l'accès départemental complet</w:t>
      </w:r>
    </w:p>
    <w:p>
      <w:r>
        <w:t>Point technique de renforcement de la sécurité.</w:t>
      </w:r>
    </w:p>
    <w:p>
      <w:pPr>
        <w:pStyle w:val="Titre2"/>
      </w:pPr>
      <w:r>
        <w:t>CF05 : Sur l'écran des candidats stagiaires d'une session, l'écran de changement du service de rattachement d'un candidat rappelait systématiquement le grade de l'agent au-dessus du formulaire, sans tenir compte du paramètre « Général - Affichage du grade ». Ce rappel respecte désormais le paramétrage, comme les autres identités courtes de l'application [Mantis #19656]</w:t>
      </w:r>
    </w:p>
    <w:p>
      <w:r>
        <w:drawing>
          <wp:inline xmlns:a="http://schemas.openxmlformats.org/drawingml/2006/main" xmlns:pic="http://schemas.openxmlformats.org/drawingml/2006/picture">
            <wp:extent cx="5867400" cy="1103799"/>
            <wp:docPr id="1669210160" name="Picture 1669210160" descr="CF05 - illustration 1"/>
            <wp:cNvGraphicFramePr>
              <a:graphicFrameLocks noChangeAspect="1"/>
            </wp:cNvGraphicFramePr>
            <a:graphic>
              <a:graphicData uri="http://schemas.openxmlformats.org/drawingml/2006/picture">
                <pic:pic>
                  <pic:nvPicPr>
                    <pic:cNvPr id="0" name="6-0_082.png"/>
                    <pic:cNvPicPr/>
                  </pic:nvPicPr>
                  <pic:blipFill>
                    <a:blip r:embed="rId98"/>
                    <a:stretch>
                      <a:fillRect/>
                    </a:stretch>
                  </pic:blipFill>
                  <pic:spPr>
                    <a:xfrm>
                      <a:off x="0" y="0"/>
                      <a:ext cx="5867400" cy="1103799"/>
                    </a:xfrm>
                    <a:prstGeom prst="rect"/>
                  </pic:spPr>
                </pic:pic>
              </a:graphicData>
            </a:graphic>
          </wp:inline>
        </w:drawing>
      </w:r>
    </w:p>
    <w:p>
      <w:pPr>
        <w:pStyle w:val="Titre2"/>
      </w:pPr>
      <w:r>
        <w:t>CF06 : Écran « Logistique » d'une session en accès externe : les boutons « Enregistrer » et le bloc « Choix du forfait » ne s'affichent plus lorsque tous les candidats du service sont acceptés (logistique alors en lecture seule) [Mantis #19684]</w:t>
      </w:r>
    </w:p>
    <w:p>
      <w:r>
        <w:t>Sur l'écran « Logistique » d'une session consulté par un accès externe (portail d'un service partenaire), la logistique d'un candidat déjà accepté est en lecture seule pour ce service, l'organisateur ayant alors la main. L'écran proposait pourtant des boutons « Enregistrer » (bloc « Choix du forfait » en tête de page et bas de page) même lorsque tous les candidats du service étaient acceptés et qu'aucune fiche n'était saisissable, ce qui laissait croire à un enregistrement impossible. Ces boutons et le bloc « Choix du forfait » ne s'affichent désormais, pour un accès externe, que lorsqu'au moins un candidat du service n'est pas encore accepté</w:t>
      </w:r>
    </w:p>
    <w:p>
      <w:r>
        <w:drawing>
          <wp:inline xmlns:a="http://schemas.openxmlformats.org/drawingml/2006/main" xmlns:pic="http://schemas.openxmlformats.org/drawingml/2006/picture">
            <wp:extent cx="5762625" cy="2581995"/>
            <wp:docPr id="1669210161" name="Picture 1669210161" descr="CF06 - illustration 1"/>
            <wp:cNvGraphicFramePr>
              <a:graphicFrameLocks noChangeAspect="1"/>
            </wp:cNvGraphicFramePr>
            <a:graphic>
              <a:graphicData uri="http://schemas.openxmlformats.org/drawingml/2006/picture">
                <pic:pic>
                  <pic:nvPicPr>
                    <pic:cNvPr id="0" name="6-0_083.png"/>
                    <pic:cNvPicPr/>
                  </pic:nvPicPr>
                  <pic:blipFill>
                    <a:blip r:embed="rId99"/>
                    <a:stretch>
                      <a:fillRect/>
                    </a:stretch>
                  </pic:blipFill>
                  <pic:spPr>
                    <a:xfrm>
                      <a:off x="0" y="0"/>
                      <a:ext cx="5762625" cy="2581995"/>
                    </a:xfrm>
                    <a:prstGeom prst="rect"/>
                  </pic:spPr>
                </pic:pic>
              </a:graphicData>
            </a:graphic>
          </wp:inline>
        </w:drawing>
      </w:r>
    </w:p>
    <w:p>
      <w:r>
        <w:t>Corrections multiples dans le déroulement de cet écran.</w:t>
      </w:r>
    </w:p>
    <w:p>
      <w:pPr>
        <w:pStyle w:val="Titre2"/>
      </w:pPr>
      <w:r>
        <w:t>CF07 : Les repas d'un stagiaire en rattrapage figurent désormais sur la feuille de repas de la logistique. [Mantis #19870]</w:t>
      </w:r>
    </w:p>
    <w:p>
      <w:r>
        <w:drawing>
          <wp:inline xmlns:a="http://schemas.openxmlformats.org/drawingml/2006/main" xmlns:pic="http://schemas.openxmlformats.org/drawingml/2006/picture">
            <wp:extent cx="5762625" cy="2174633"/>
            <wp:docPr id="1669210162" name="Picture 1669210162" descr="CF07 - illustration 1"/>
            <wp:cNvGraphicFramePr>
              <a:graphicFrameLocks noChangeAspect="1"/>
            </wp:cNvGraphicFramePr>
            <a:graphic>
              <a:graphicData uri="http://schemas.openxmlformats.org/drawingml/2006/picture">
                <pic:pic>
                  <pic:nvPicPr>
                    <pic:cNvPr id="0" name="6-0_084.png"/>
                    <pic:cNvPicPr/>
                  </pic:nvPicPr>
                  <pic:blipFill>
                    <a:blip r:embed="rId100"/>
                    <a:stretch>
                      <a:fillRect/>
                    </a:stretch>
                  </pic:blipFill>
                  <pic:spPr>
                    <a:xfrm>
                      <a:off x="0" y="0"/>
                      <a:ext cx="5762625" cy="2174633"/>
                    </a:xfrm>
                    <a:prstGeom prst="rect"/>
                  </pic:spPr>
                </pic:pic>
              </a:graphicData>
            </a:graphic>
          </wp:inline>
        </w:drawing>
      </w:r>
    </w:p>
    <w:p>
      <w:r>
        <w:t>Correction dans ces éditions : les stagiaires en rattrapage seront désormais présentés.</w:t>
      </w:r>
    </w:p>
    <w:p>
      <w:pPr>
        <w:pStyle w:val="Titre2"/>
      </w:pPr>
      <w:r>
        <w:t>CF08 : Sous Oracle, la liste des sessions du libre-service stagiaire ne s'affichait plus pour un agent ayant déjà candidaté, et des observations de plus de 4 000 caractères provoquaient la même panne : ces textes sont désormais lus de façon compatible [Pas de Mantis]</w:t>
      </w:r>
    </w:p>
    <w:p>
      <w:r>
        <w:t>Sous Oracle, la liste des sessions du libre-service stagiaire ne s'affichait plus dès lors que l'agent avait déjà déposé une candidature : le commentaire de refus, texte long, faisait échouer la requête (« types de données incohérents »). Les observations des sessions, affichées par le libre-service stagiaire et formateur (y compris sur l'application mobile), pouvaient par ailleurs provoquer la même panne lorsqu'elles dépassaient 4 000 caractères. Ces textes sont désormais lus de façon compatible, limités à 3 900 caractères dans ces listes</w:t>
      </w:r>
    </w:p>
    <w:p>
      <w:r>
        <w:drawing>
          <wp:inline xmlns:a="http://schemas.openxmlformats.org/drawingml/2006/main" xmlns:pic="http://schemas.openxmlformats.org/drawingml/2006/picture">
            <wp:extent cx="5762625" cy="1998232"/>
            <wp:docPr id="1669210163" name="Picture 1669210163" descr="CF08 - illustration 1"/>
            <wp:cNvGraphicFramePr>
              <a:graphicFrameLocks noChangeAspect="1"/>
            </wp:cNvGraphicFramePr>
            <a:graphic>
              <a:graphicData uri="http://schemas.openxmlformats.org/drawingml/2006/picture">
                <pic:pic>
                  <pic:nvPicPr>
                    <pic:cNvPr id="0" name="6-0_085.png"/>
                    <pic:cNvPicPr/>
                  </pic:nvPicPr>
                  <pic:blipFill>
                    <a:blip r:embed="rId101"/>
                    <a:stretch>
                      <a:fillRect/>
                    </a:stretch>
                  </pic:blipFill>
                  <pic:spPr>
                    <a:xfrm>
                      <a:off x="0" y="0"/>
                      <a:ext cx="5762625" cy="1998232"/>
                    </a:xfrm>
                    <a:prstGeom prst="rect"/>
                  </pic:spPr>
                </pic:pic>
              </a:graphicData>
            </a:graphic>
          </wp:inline>
        </w:drawing>
      </w:r>
    </w:p>
    <w:p>
      <w:r>
        <w:t>Cet écran pouvant ne plus afficher de sessions sur une base Oracle.</w:t>
      </w:r>
    </w:p>
    <w:p>
      <w:pPr>
        <w:pStyle w:val="Titre2"/>
      </w:pPr>
      <w:r>
        <w:t>CF09 : Paramètres « Doubles carrières - … » (Emplois, Diplômes, UV) : une valeur mal saisie provoquait une erreur à la délivrance des diplômes et à l'enregistrement d'un emploi ; les couples incomplets sont ignorés, le paramétrage restant à corriger [Mantis #19937]</w:t>
      </w:r>
    </w:p>
    <w:p>
      <w:r>
        <w:t xml:space="preserve">Correction préventive de la lecture des paramètres « Doubles carrières - … » (Emplois, Diplômes, UV) : ces paramètres doivent contenir des couples de statuts de la forme </w:t>
      </w:r>
      <w:r>
        <w:rPr>
          <w:rFonts w:ascii="Consolas" w:hAnsi="Consolas"/>
        </w:rPr>
        <w:t>SPP=SPV|PATS=SSSM</w:t>
      </w:r>
      <w:r>
        <w:t xml:space="preserve">. Une valeur mal saisie (statut seul, séparateur </w:t>
      </w:r>
      <w:r>
        <w:rPr>
          <w:rFonts w:ascii="Consolas" w:hAnsi="Consolas"/>
        </w:rPr>
        <w:t>|</w:t>
      </w:r>
      <w:r>
        <w:t xml:space="preserve"> doublé, couple incomplet) provoquait une erreur lors de la délivrance des diplômes avec l'attribution automatique des emplois, ainsi qu'à l'enregistrement d'un emploi sur le livret d'un agent en double carrière. Les couples incomplets sont désormais ignorés, et seuls les couples bien formés sont synchronisés. Le paramétrage reste à corriger : un couple mal saisi n'est pas synchronisé</w:t>
      </w:r>
    </w:p>
    <w:p>
      <w:r>
        <w:t>Outils &gt; Paramètres &gt; Paramètres, bloc « Doubles » : paramètres « Doubles carrières - Diplômes / Emplois / UV », à renseigner avec des couples de statuts bien formés (ex. SPP=SPV) :</w:t>
      </w:r>
    </w:p>
    <w:p>
      <w:r>
        <w:drawing>
          <wp:inline xmlns:a="http://schemas.openxmlformats.org/drawingml/2006/main" xmlns:pic="http://schemas.openxmlformats.org/drawingml/2006/picture">
            <wp:extent cx="3876674" cy="2438399"/>
            <wp:docPr id="1669210164" name="Picture 1669210164" descr="CF09 - illustration 1"/>
            <wp:cNvGraphicFramePr>
              <a:graphicFrameLocks noChangeAspect="1"/>
            </wp:cNvGraphicFramePr>
            <a:graphic>
              <a:graphicData uri="http://schemas.openxmlformats.org/drawingml/2006/picture">
                <pic:pic>
                  <pic:nvPicPr>
                    <pic:cNvPr id="0" name="6-0_086.png"/>
                    <pic:cNvPicPr/>
                  </pic:nvPicPr>
                  <pic:blipFill>
                    <a:blip r:embed="rId102"/>
                    <a:stretch>
                      <a:fillRect/>
                    </a:stretch>
                  </pic:blipFill>
                  <pic:spPr>
                    <a:xfrm>
                      <a:off x="0" y="0"/>
                      <a:ext cx="3876674" cy="2438399"/>
                    </a:xfrm>
                    <a:prstGeom prst="rect"/>
                  </pic:spPr>
                </pic:pic>
              </a:graphicData>
            </a:graphic>
          </wp:inline>
        </w:drawing>
      </w:r>
    </w:p>
    <w:p>
      <w:pPr>
        <w:pStyle w:val="Titre2"/>
      </w:pPr>
      <w:r>
        <w:t>CF10 : Planification des sessions (Formation &gt; Planification &gt; Sessions) : l'affichage jour par jour d'un mois de 30 jours ou de février provoquait une erreur et l'écran ne s'affichait pas ; la période s'arrête désormais au dernier jour réel du mois [Mantis #19970]</w:t>
      </w:r>
    </w:p>
    <w:p>
      <w:r>
        <w:t>Formation &gt; Planification &gt; Sessions, mois de septembre affiché « Par jour » : le calendrier s'affiche de nouveau pour un mois de 30 jours, jusqu'au dimanche qui suit le 30 :</w:t>
      </w:r>
    </w:p>
    <w:p>
      <w:r>
        <w:drawing>
          <wp:inline xmlns:a="http://schemas.openxmlformats.org/drawingml/2006/main" xmlns:pic="http://schemas.openxmlformats.org/drawingml/2006/picture">
            <wp:extent cx="5762625" cy="6900286"/>
            <wp:docPr id="1669210165" name="Picture 1669210165" descr="CF10 - illustration 1"/>
            <wp:cNvGraphicFramePr>
              <a:graphicFrameLocks noChangeAspect="1"/>
            </wp:cNvGraphicFramePr>
            <a:graphic>
              <a:graphicData uri="http://schemas.openxmlformats.org/drawingml/2006/picture">
                <pic:pic>
                  <pic:nvPicPr>
                    <pic:cNvPr id="0" name="6-0_087.png"/>
                    <pic:cNvPicPr/>
                  </pic:nvPicPr>
                  <pic:blipFill>
                    <a:blip r:embed="rId103"/>
                    <a:stretch>
                      <a:fillRect/>
                    </a:stretch>
                  </pic:blipFill>
                  <pic:spPr>
                    <a:xfrm>
                      <a:off x="0" y="0"/>
                      <a:ext cx="5762625" cy="6900286"/>
                    </a:xfrm>
                    <a:prstGeom prst="rect"/>
                  </pic:spPr>
                </pic:pic>
              </a:graphicData>
            </a:graphic>
          </wp:inline>
        </w:drawing>
      </w:r>
    </w:p>
    <w:p>
      <w:r>
        <w:br w:type="page"/>
      </w:r>
    </w:p>
    <w:p>
      <w:pPr>
        <w:pStyle w:val="Titre1"/>
      </w:pPr>
      <w:r>
        <w:t>Formation - Emargement</w:t>
      </w:r>
    </w:p>
    <w:p>
      <w:pPr>
        <w:pStyle w:val="Titre2"/>
      </w:pPr>
      <w:r>
        <w:t>EV01 : Nouveau bloc « Émargements » du Libre-Service : écrans « Sessions de stages » et « FMPA sur centre » listant les sessions et séances de l'agent, avec accès direct à l'émargement sans QR code ; accès paramétrable dans les droits des profils [Pas de Mantis]</w:t>
      </w:r>
    </w:p>
    <w:p>
      <w:r>
        <w:t>Ajout d’un bloc « Émargements » dans le menu Libre-Service, avec deux écrans : « Sessions de stages » (les sessions sur lesquelles l’agent est inscrit comme stagiaire accepté ou engagé comme formateur) et « FMPA sur centre » (les séances auxquelles il participe ou qu’il encadre). Chaque écran liste les sessions/séances de la plus récente à la plus ancienne, avec des filtres sur la période — et, pour les sessions, sur l’état de l’inscription et l’état de la session — puis permet d’accéder directement à son émargement sans passer par le QR code. Il ne s’agit que d’un raccourci de navigation : les règles d’accès et de signature sont inchangées, et une ligne dont l’émargement n’est pas ouvert (aucune journée planifiée, journées passées hors dérogation) s’affiche grisée avec le motif. L’accès à ces deux écrans se paramètre dans les droits des profils. Les signatures réalisées par l’agent depuis son propre compte sont désormais identifiées comme telles, distinctement du mode kiosque.</w:t>
      </w:r>
    </w:p>
    <w:p>
      <w:r>
        <w:t>Nouvel écran « Libre-Service &gt; Émargements &gt; Sessions de stages », avec ses filtres :</w:t>
      </w:r>
    </w:p>
    <w:p>
      <w:r>
        <w:drawing>
          <wp:inline xmlns:a="http://schemas.openxmlformats.org/drawingml/2006/main" xmlns:pic="http://schemas.openxmlformats.org/drawingml/2006/picture">
            <wp:extent cx="5762625" cy="1017140"/>
            <wp:docPr id="1669210166" name="Picture 1669210166" descr="EV01 - illustration 1"/>
            <wp:cNvGraphicFramePr>
              <a:graphicFrameLocks noChangeAspect="1"/>
            </wp:cNvGraphicFramePr>
            <a:graphic>
              <a:graphicData uri="http://schemas.openxmlformats.org/drawingml/2006/picture">
                <pic:pic>
                  <pic:nvPicPr>
                    <pic:cNvPr id="0" name="6-0_088.png"/>
                    <pic:cNvPicPr/>
                  </pic:nvPicPr>
                  <pic:blipFill>
                    <a:blip r:embed="rId104"/>
                    <a:stretch>
                      <a:fillRect/>
                    </a:stretch>
                  </pic:blipFill>
                  <pic:spPr>
                    <a:xfrm>
                      <a:off x="0" y="0"/>
                      <a:ext cx="5762625" cy="1017140"/>
                    </a:xfrm>
                    <a:prstGeom prst="rect"/>
                  </pic:spPr>
                </pic:pic>
              </a:graphicData>
            </a:graphic>
          </wp:inline>
        </w:drawing>
      </w:r>
    </w:p>
    <w:p>
      <w:r>
        <w:br w:type="page"/>
      </w:r>
    </w:p>
    <w:p>
      <w:pPr>
        <w:pStyle w:val="Titre1"/>
      </w:pPr>
      <w:r>
        <w:t>Outils</w:t>
      </w:r>
    </w:p>
    <w:p>
      <w:pPr>
        <w:pStyle w:val="Titre2"/>
      </w:pPr>
      <w:r>
        <w:t>EO01 : Mise à jour de sécurité et de maintenance des bibliothèques tierces : montées de version corrigeant des vulnérabilités connues (notamment pac4j/OIDC, Spring, Apache Commons VFS, json-smart, Nimbus JOSE+JWT, Woodstox) et retrait de bibliothèques obsolètes ou inutilisées ; sans changement fonctionnel visible. [Pas de Mantis]</w:t>
      </w:r>
    </w:p>
    <w:p>
      <w:r>
        <w:t>Point technique de maintenance des bibliothèques, sans changement visible.</w:t>
      </w:r>
    </w:p>
    <w:p>
      <w:pPr>
        <w:pStyle w:val="Titre2"/>
      </w:pPr>
      <w:r>
        <w:t>EO02 : Retrait de l'ancienne interface d'échange par messagerie JMS (pont bidirectionnel avec le SIRH de gestion administrative), obsolète et non maintenue : le démon, les écrans de contrôle et les bibliothèques associées sont supprimés. Les interfaces d'échange actuelles (imports/exports de fichiers, interfaces REST) ne sont pas affectées. [Pas de Mantis]</w:t>
      </w:r>
    </w:p>
    <w:p>
      <w:r>
        <w:t>Point technique : retrait d'une interface obsolète, sans écran de remplacement.</w:t>
      </w:r>
    </w:p>
    <w:p>
      <w:pPr>
        <w:pStyle w:val="Titre2"/>
      </w:pPr>
      <w:r>
        <w:t>EO03 : Montée de version de la bibliothèque tierce de lecture et d'écriture des fichiers CSV (OpenCSV 1.8 → 5.12), utilisée par les imports et exports au format CSV (imports Sedit, paie DGFIP, organigramme, imputations…) : mise à jour de maintenance, sans changement fonctionnel visible. [Pas de Mantis]</w:t>
      </w:r>
    </w:p>
    <w:p>
      <w:r>
        <w:t>Point technique de maintenance des bibliothèques, sans changement visible.</w:t>
      </w:r>
    </w:p>
    <w:p>
      <w:pPr>
        <w:pStyle w:val="Titre2"/>
      </w:pPr>
      <w:r>
        <w:t>EO04 : Envois vers MédiSAP depuis les écrans désormais asynchrones (file d'attente) : la saisie n'attend plus et n'est plus bloquée si le service est indisponible. Notification en cas d'échec et bouton de ré-envoi (MédiSAP et eSedit) [Pas de Mantis]</w:t>
      </w:r>
    </w:p>
    <w:p>
      <w:r>
        <w:t>Les données transmises à MédiSAP lors des mises à jour dans les écrans (dossiers agents, tests physiques, emplois/spécialités, diplômes, permis) sont désormais envoyées de façon asynchrone via une file d'attente : la saisie n'attend plus l'appel réseau vers MédiSAP et n'est plus bloquée si le service est indisponible, l'envoi effectif étant réalisé périodiquement par le traitement de fond. En cas d'échec sur un lot d'envois, une notification est remontée dans la cloche, et un bouton de ré-envoi des éléments en erreur a été ajouté (pour MédiSAP comme pour l'interface sortante eSedit). L'envoi de masse depuis l'écran d'administration MédiSAP reste inchangé</w:t>
      </w:r>
    </w:p>
    <w:p>
      <w:r>
        <w:drawing>
          <wp:inline xmlns:a="http://schemas.openxmlformats.org/drawingml/2006/main" xmlns:pic="http://schemas.openxmlformats.org/drawingml/2006/picture">
            <wp:extent cx="5762625" cy="2141781"/>
            <wp:docPr id="1669210167" name="Picture 1669210167" descr="EO04 - illustration 1"/>
            <wp:cNvGraphicFramePr>
              <a:graphicFrameLocks noChangeAspect="1"/>
            </wp:cNvGraphicFramePr>
            <a:graphic>
              <a:graphicData uri="http://schemas.openxmlformats.org/drawingml/2006/picture">
                <pic:pic>
                  <pic:nvPicPr>
                    <pic:cNvPr id="0" name="6-0_089.png"/>
                    <pic:cNvPicPr/>
                  </pic:nvPicPr>
                  <pic:blipFill>
                    <a:blip r:embed="rId105"/>
                    <a:stretch>
                      <a:fillRect/>
                    </a:stretch>
                  </pic:blipFill>
                  <pic:spPr>
                    <a:xfrm>
                      <a:off x="0" y="0"/>
                      <a:ext cx="5762625" cy="2141781"/>
                    </a:xfrm>
                    <a:prstGeom prst="rect"/>
                  </pic:spPr>
                </pic:pic>
              </a:graphicData>
            </a:graphic>
          </wp:inline>
        </w:drawing>
      </w:r>
    </w:p>
    <w:p>
      <w:pPr>
        <w:pStyle w:val="Titre2"/>
      </w:pPr>
      <w:r>
        <w:t>EO05 : Ajout, sur l'écran d'audit des courriels, d'un bouton permettant de replacer en une seule action tous les courriels en erreur en attente d'envoi, afin d'en retenter l'émission. [Pas de Mantis]</w:t>
      </w:r>
    </w:p>
    <w:p>
      <w:r>
        <w:drawing>
          <wp:inline xmlns:a="http://schemas.openxmlformats.org/drawingml/2006/main" xmlns:pic="http://schemas.openxmlformats.org/drawingml/2006/picture">
            <wp:extent cx="5762625" cy="909152"/>
            <wp:docPr id="1669210168" name="Picture 1669210168" descr="EO05 - illustration 1"/>
            <wp:cNvGraphicFramePr>
              <a:graphicFrameLocks noChangeAspect="1"/>
            </wp:cNvGraphicFramePr>
            <a:graphic>
              <a:graphicData uri="http://schemas.openxmlformats.org/drawingml/2006/picture">
                <pic:pic>
                  <pic:nvPicPr>
                    <pic:cNvPr id="0" name="6-0_090.png"/>
                    <pic:cNvPicPr/>
                  </pic:nvPicPr>
                  <pic:blipFill>
                    <a:blip r:embed="rId106"/>
                    <a:stretch>
                      <a:fillRect/>
                    </a:stretch>
                  </pic:blipFill>
                  <pic:spPr>
                    <a:xfrm>
                      <a:off x="0" y="0"/>
                      <a:ext cx="5762625" cy="909152"/>
                    </a:xfrm>
                    <a:prstGeom prst="rect"/>
                  </pic:spPr>
                </pic:pic>
              </a:graphicData>
            </a:graphic>
          </wp:inline>
        </w:drawing>
      </w:r>
    </w:p>
    <w:p>
      <w:pPr>
        <w:pStyle w:val="Titre2"/>
      </w:pPr>
      <w:r>
        <w:t>EO06 : Requêteur : nouvel export Excel natif (.xlsx) des résultats, avec colonnes typées, en-têtes figés, filtre automatique, ligne de total et un onglet graphique quand la requête en déclare un (les zones circulaires y sont rendues en anneau). Les exports Excel et OpenOffice Calc existants restent inchangés. [Pas de Mantis]</w:t>
      </w:r>
    </w:p>
    <w:p>
      <w:r>
        <w:drawing>
          <wp:inline xmlns:a="http://schemas.openxmlformats.org/drawingml/2006/main" xmlns:pic="http://schemas.openxmlformats.org/drawingml/2006/picture">
            <wp:extent cx="5762625" cy="1497375"/>
            <wp:docPr id="1669210169" name="Picture 1669210169" descr="EO06 - illustration 1"/>
            <wp:cNvGraphicFramePr>
              <a:graphicFrameLocks noChangeAspect="1"/>
            </wp:cNvGraphicFramePr>
            <a:graphic>
              <a:graphicData uri="http://schemas.openxmlformats.org/drawingml/2006/picture">
                <pic:pic>
                  <pic:nvPicPr>
                    <pic:cNvPr id="0" name="6-0_091.png"/>
                    <pic:cNvPicPr/>
                  </pic:nvPicPr>
                  <pic:blipFill>
                    <a:blip r:embed="rId107"/>
                    <a:stretch>
                      <a:fillRect/>
                    </a:stretch>
                  </pic:blipFill>
                  <pic:spPr>
                    <a:xfrm>
                      <a:off x="0" y="0"/>
                      <a:ext cx="5762625" cy="1497375"/>
                    </a:xfrm>
                    <a:prstGeom prst="rect"/>
                  </pic:spPr>
                </pic:pic>
              </a:graphicData>
            </a:graphic>
          </wp:inline>
        </w:drawing>
      </w:r>
    </w:p>
    <w:p>
      <w:pPr>
        <w:pStyle w:val="Titre2"/>
      </w:pPr>
      <w:r>
        <w:t>EO07 : Nettoyage interne du code : les 296 points d'entrée historiques des fonctions utilitaires, conservés en délégation lors des refactorisations précédentes, sont supprimés ; les appels qui les utilisaient encore ont été redirigés vers les fonctions cibles. Sans changement fonctionnel ni impact sur les écrans. [Pas de Mantis]</w:t>
      </w:r>
    </w:p>
    <w:p>
      <w:r>
        <w:t>Point technique de refactorisation interne, sans changement visible.</w:t>
      </w:r>
    </w:p>
    <w:p>
      <w:pPr>
        <w:pStyle w:val="Titre2"/>
      </w:pPr>
      <w:r>
        <w:t>EO08 : Nettoyage interne du code : fragments recopiés mutualisés et feuilles de style des documents Word générés sorties du code vers des ressources dédiées ; près de 5 800 lignes en moins, sans changement fonctionnel [Pas de Mantis]</w:t>
      </w:r>
    </w:p>
    <w:p>
      <w:r>
        <w:t>Nettoyage interne du code : les fragments recopiés à l'identique dans de nombreux fichiers ont été mutualisés dans des fonctions et des fragments partagés — traitement de fermeture en fin de requête des écrans, en-tête des écrans à onglets, socle commun des entités de paie, comparaison et empreinte des objets (désormais confiées aux fonctions standard du langage) et blocs d'affichage récurrents (suivi d'une candidature, corps des courriers de masse). En parallèle, les feuilles de style figées des documents Word générés — en-tête d'une feuille de présence et tables de styles communes à plusieurs feuilles d'impression — ont été sorties du code vers des ressources dédiées. Près de 5 800 lignes de code en moins, sans changement fonctionnel : écrans, documents produits et données restent identiques.</w:t>
      </w:r>
    </w:p>
    <w:p>
      <w:r>
        <w:t>Point technique de refactorisation interne, sans changement visible.</w:t>
      </w:r>
    </w:p>
    <w:p>
      <w:pPr>
        <w:pStyle w:val="Titre2"/>
      </w:pPr>
      <w:r>
        <w:t>EO09 : Nettoyage interne du code : la logique déclarée dans les pages d'affichage est transférée dans du code applicatif dédié par module, sans changement fonctionnel ; équivalence des états du bilan de formation vérifiée par test automatisé [Pas de Mantis]</w:t>
      </w:r>
    </w:p>
    <w:p>
      <w:r>
        <w:t>Nettoyage interne du code : les fonctions et les objets qui étaient déclarés directement à l'intérieur des pages d'affichage ont été transférés dans du code applicatif dédié, regroupé par module — fiches réflexes, fiche de liaison logistique, aide aux balises des modèles de courriers, états du bilan de formation, ventilation des besoins collectifs sur l'organigramme, vue en arbre du modèle de données et choix d'une capture d'écran du manuel utilisateur. Les quatre états du bilan de formation partagent désormais un socle commun (calculs de totaux et éléments de tableau) et le code recopié à l'identique entre les deux variantes de la fiche réflexe n'existe plus qu'en un seul exemplaire ; une fonction devenue inutilisée a été supprimée. Sans changement fonctionnel : les écrans et les documents produits sont identiques, l'équivalence des tableaux du bilan de formation ayant été vérifiée par test automatisé avant/après.</w:t>
      </w:r>
    </w:p>
    <w:p>
      <w:r>
        <w:t>Point technique de refactorisation interne, sans changement visible.</w:t>
      </w:r>
    </w:p>
    <w:p>
      <w:pPr>
        <w:pStyle w:val="Titre2"/>
      </w:pPr>
      <w:r>
        <w:t>EO10A : Refactorisation d'ensemble : les pages d'affichage historiques sont converties en composants applicatifs, écran par écran, sans changer aucune adresse (menu, favoris, raccourcis) ni, à droits identiques, les écrans et documents produits [Pas de Mantis]</w:t>
      </w:r>
    </w:p>
    <w:p>
      <w:r>
        <w:t>Refactorisation d'ensemble du code applicatif : les pages d'affichage historiques sont progressivement converties en composants applicatifs, écran par écran, et la configuration de déploiement allégée d'autant. Le chantier est mené sans changer aucune adresse : les liens du menu, les favoris et les raccourcis vers les écrans restent identiques, et à droits identiques les écrans, les données et les documents produits sont inchangés. Les blocs de la page d'accueil (« pagelets ») sont les premiers convertis, en conservant le chemin enregistré pour chacun d'eux : les pagelets configurées restent en place, y compris celles ajoutées à la main.</w:t>
      </w:r>
    </w:p>
    <w:p>
      <w:r>
        <w:t>Point technique de refactorisation interne, sans changement visible.</w:t>
      </w:r>
    </w:p>
    <w:p>
      <w:pPr>
        <w:pStyle w:val="Titre2"/>
      </w:pPr>
      <w:r>
        <w:t>EO10B : Sécurité des écrans d'administration de référentiels : l'accès en lecture à un onglet est contrôlé côté serveur (« Accès refusé » sans droit), et un paramètre d'URL ne peut plus afficher un autre écran sous l'adresse d'un écran [Pas de Mantis]</w:t>
      </w:r>
    </w:p>
    <w:p>
      <w:r>
        <w:t>Sécurité des écrans d'administration de référentiels. D'une part, l'accès en lecture à un onglet est désormais contrôlé côté serveur : un onglet que le menu n'affichait déjà pas faute de droit, mais dont l'adresse restait atteignable directement, renvoie maintenant « Accès refusé ». D'autre part, l'adresse demandée fait foi : un paramètre d'URL ne peut plus faire afficher, sous l'adresse d'un écran, le contenu d'un autre écran d'administration.</w:t>
      </w:r>
    </w:p>
    <w:p>
      <w:r>
        <w:t>Point technique de renforcement de la sécurité.</w:t>
      </w:r>
    </w:p>
    <w:p>
      <w:pPr>
        <w:pStyle w:val="Titre2"/>
      </w:pPr>
      <w:r>
        <w:t>EO10C : En multi-clients, la composition des écrans d'administration est évaluée pour chaque client d'après ses propres paramètres de licence, et réévaluée dès la modification de l'un d'eux, sans redémarrage [Pas de Mantis]</w:t>
      </w:r>
    </w:p>
    <w:p>
      <w:r>
        <w:t>En multi-clients, la composition des écrans d'administration (onglets proposés, tables de détail dépliées sous une fiche) est désormais évaluée pour chaque client d'après ses propres paramètres de licence — elle était calculée une seule fois, au premier chargement, puis partagée par tous les clients — et réévaluée dès la modification d'un de ces paramètres, sans redémarrage.</w:t>
      </w:r>
    </w:p>
    <w:p>
      <w:r>
        <w:t>Point technique concernant les hébergements SaaS.</w:t>
      </w:r>
    </w:p>
    <w:p>
      <w:pPr>
        <w:pStyle w:val="Titre2"/>
      </w:pPr>
      <w:r>
        <w:t>EO10D : Les écrans d'administration de référentiels proposent l'export Excel là où il manquait, les filtres et le découpage en pages y étant déjà actifs. [Pas de Mantis]</w:t>
      </w:r>
    </w:p>
    <w:p>
      <w:r>
        <w:drawing>
          <wp:inline xmlns:a="http://schemas.openxmlformats.org/drawingml/2006/main" xmlns:pic="http://schemas.openxmlformats.org/drawingml/2006/picture">
            <wp:extent cx="5762625" cy="1823837"/>
            <wp:docPr id="1669210170" name="Picture 1669210170" descr="EO10D - illustration 1"/>
            <wp:cNvGraphicFramePr>
              <a:graphicFrameLocks noChangeAspect="1"/>
            </wp:cNvGraphicFramePr>
            <a:graphic>
              <a:graphicData uri="http://schemas.openxmlformats.org/drawingml/2006/picture">
                <pic:pic>
                  <pic:nvPicPr>
                    <pic:cNvPr id="0" name="6-0_092.png"/>
                    <pic:cNvPicPr/>
                  </pic:nvPicPr>
                  <pic:blipFill>
                    <a:blip r:embed="rId108"/>
                    <a:stretch>
                      <a:fillRect/>
                    </a:stretch>
                  </pic:blipFill>
                  <pic:spPr>
                    <a:xfrm>
                      <a:off x="0" y="0"/>
                      <a:ext cx="5762625" cy="1823837"/>
                    </a:xfrm>
                    <a:prstGeom prst="rect"/>
                  </pic:spPr>
                </pic:pic>
              </a:graphicData>
            </a:graphic>
          </wp:inline>
        </w:drawing>
      </w:r>
    </w:p>
    <w:p>
      <w:pPr>
        <w:pStyle w:val="Titre2"/>
      </w:pPr>
      <w:r>
        <w:t>EO10E : Corrections d'affichage et de droits révélées par la conversion des écrans : sous-écrans d'un modèle de stage, boutons de raccourci d'une pagelet de navigation, pagelet de pilotage d'une interface d'échange [Pas de Mantis]</w:t>
      </w:r>
    </w:p>
    <w:p>
      <w:r>
        <w:t>Corrections d'affichage et de droits révélées par la conversion des écrans. Les sous-écrans d'un modèle de stage refermaient la page deux fois, ce qui laissait le bloc « appliquer aux sessions à venir » coincé entre les deux fermetures. Dans une pagelet de navigation, un bouton de raccourci auquel l'utilisateur n'a pas droit interrompait la liste : il masquait aussi tous les boutons suivants du même bloc, il est maintenant simplement omis. Enfin la pagelet de pilotage d'une interface d'échange refermait sa page de façon incomplète, deux balises de tableau y manquaient, et un dossier d'échange illisible provoquait une erreur au lieu d'être signalé comme vide.</w:t>
      </w:r>
    </w:p>
    <w:p>
      <w:r>
        <w:t>Point technique : corrections révélées par la refactorisation.</w:t>
      </w:r>
    </w:p>
    <w:p>
      <w:pPr>
        <w:pStyle w:val="Titre2"/>
      </w:pPr>
      <w:r>
        <w:t>EO10F : Droits de l'écran « Outils &gt; Optimisation BD » : consultation (informations), modification (calculs et traitements sans perte) et droit complet (traitements destructeurs) sont distingués. À vérifier à la montée de version : niveau de droit des comptes concernés [Pas de Mantis]</w:t>
      </w:r>
    </w:p>
    <w:p>
      <w:r>
        <w:t>Mise en conformité des droits de l'écran « Outils &gt; Optimisation BD », révélée par la conversion des écrans. L'écran ne vérifiait qu'une fois le droit de consultation, et ce niveau ouvrait ensuite toutes ses actions, y compris les plus lourdes de conséquences. Les trois niveaux de droit y sont désormais distingués. La consultation ne donne que les informations : état des tables calculées et date de leur dernier calcul, liste des référentiels livrés avec l'application, vérification des durées saisies, vérification des fichiers joints, état des services de fond — aucun bouton d'action n'y est proposé. La modification lance les calculs et les traitements sans perte de données : recalculs et mises à jour des vues, appels aux interfaces sortantes, contrôles de l'annuaire d'entreprise, intégration de l'annuaire d'adresses, chiffrement des pièces jointes, sauvegarde des fichiers joints, exports de référentiels, rechargement du dictionnaire de données, des libellés manquants et du menu, relance des services de fond. Le droit complet lance les seuls traitements destructeurs : application de la structure à la base, restauration des fichiers joints, suppression de toutes les sauvegardes, rechargement complet des libellés, rechargement de l'aide en ligne, et chargement d'un jeu de données de référence livré. Un bouton n'apparaît que si le niveau qu'il exige est acquis, et chaque action revérifie ce niveau côté serveur : l'adresse forgée ne contourne rien. À vérifier à la montée de version : un compte qui lançait ces traitements avec le seul droit de consultation doit être repassé en modification, et un compte qui restaurait les fichiers joints ou supprimait les sauvegardes doit recevoir le droit complet.</w:t>
      </w:r>
    </w:p>
    <w:p>
      <w:r>
        <w:t>Point technique de mise en conformité des droits.</w:t>
      </w:r>
    </w:p>
    <w:p>
      <w:pPr>
        <w:pStyle w:val="Titre2"/>
      </w:pPr>
      <w:r>
        <w:t>EO10G : Fin de la refactorisation EO10A : toutes les pages historiques sont converties, sans changement d'adresse. Mise en page des documents bureautiques sortie en ressources, défauts de robustesse corrigés, écran d'erreur de l'outil généralisé [Pas de Mantis]</w:t>
      </w:r>
    </w:p>
    <w:p>
      <w:r>
        <w:t>Achèvement de la refactorisation engagée en EO10A : la totalité des pages d'affichage historiques est désormais convertie en composants applicatifs — il n'en subsiste aucune. Les derniers lots ont porté sur les documents bureautiques les plus volumineux (procès-verbaux de stage, listes de stagiaires et de formateurs, fiches de jury individuelles, fiches réflexes, convocations, demandes de mandatement, états d'indemnités des stagiaires et des formateurs, courriers de réservation de repas), dans leurs déclinaisons propres à chaque client : leur mise en page sort du code vers des ressources modifiables sans recompilation, les données et les calculs restant inchangés. Aucune adresse n'a changé : les liens du menu, les boutons d'édition, les favoris et les raccourcis restent identiques, et à droits identiques les documents produits sont les mêmes. La conversion a par ailleurs corrigé des défauts de robustesse propres à ces éditions : documents qui s'interrompaient en cours de production sur une donnée absente ou mal formée, pages blanches en fin de document, ruptures de page mal placées, mentions « null » à la place d'une valeur vide, et temps de production allongés par la relecture répétée des mêmes données. Enfin, l'écran d'erreur de l'outil s'applique désormais à l'ensemble de l'application : une erreur imprévue survenant sur un écran déjà converti affichait jusqu'ici la page d'erreur du serveur d'application, avec son détail technique ; elle affiche maintenant le message d'erreur habituel de l'outil, dans sa mise en page.</w:t>
      </w:r>
    </w:p>
    <w:p>
      <w:r>
        <w:t>Point technique de refactorisation interne, sans changement visible.</w:t>
      </w:r>
    </w:p>
    <w:p>
      <w:pPr>
        <w:pStyle w:val="Titre2"/>
      </w:pPr>
      <w:r>
        <w:t>EO11 : Bibliothèques tierces : correction des vulnérabilités connues (Jackson, Log4j), 23 bibliothèques mises à jour, quatre montées majeures, et 20 bibliothèques inutilisées retirées (de 127 à 107, de 106 à 94 Mo). Sans changement fonctionnel visible [Pas de Mantis]</w:t>
      </w:r>
    </w:p>
    <w:p>
      <w:r>
        <w:t>Poursuite de la mise à jour de sécurité des bibliothèques tierces engagée en EO01, entretien du parc et allègement de la livraison. Côté sécurité, des montées de version corrigent les vulnérabilités connues (Jackson, pour la lecture et l'écriture des données au format JSON, et l'API Log4j) ; deux bibliothèques étaient par ailleurs déclarées sans être livrées, dont une vulnérable : l'analyseur XML Xerces, inutilisé au profit de celui fourni par le langage, est retiré, et la bibliothèque de téléversement de fichiers est déclarée dans la version réellement utilisée. Côté entretien, vingt-trois bibliothèques sont montées à la dernière version de leur ligne — parmi lesquelles pac4j pour l'authentification SSO, plusieurs composants Apache Commons, Guava, Gson, Bouncy Castle et SLF4J — le code étant adapté là où l'interface de programmation de la bibliothèque JSON a changé ; quatre montées ont été volontairement écartées, chacune étant contrainte par une autre bibliothèque qui exige la version en place. Côté montées majeures, quatre lots ont été traités séparément, chacun validé par son propre contrôle : le compilateur de minification JavaScript, épinglé de longue date parce que les versions récentes exigeaient un socle Java plus élevé que le nôtre, repasse à la version courante — le passage du produit à Java 21 a levé la contrainte ; les bibliothèques de pilotage de LibreOffice, utilisées pour la conversion de documents, sont alignées sur la version que le convertisseur réclame lui-même, alors que nous en livrions une plus ancienne ; le moteur de lecture et d'écriture XML en flux et son interface d'extension, indissociables, montent ensemble d'une version majeure ; et le client HTTP employé par l'envoi de SMS fait de même. D'autres montées majeures ont été écartées à dessein, chacune contrainte par une bibliothèque tierce qui exige encore la version en place ou dont la version suivante s'appuie sur une publication non stabilisée. Côté allègement, vingt bibliothèques sans aucun usage sont retirées : le parc livré passe de 127 à 107 bibliothèques et d'environ 106 à 94 Mo. On y trouve un client de stockage distribué, trois modules Spring et deux modules d'authentification SSO sans emploi, le socle Avalon dont le moteur de génération PDF ne dépend plus, des outils de génération de code qui n'avaient pas à être livrés, et plusieurs doublons de bibliothèques déjà embarquées ailleurs — il ne subsiste désormais aucune classe en double entre les bibliothèques livrées, ce qui supprime tout risque de conflit de chargement. Les descripteurs de build décrivent à nouveau exactement les bibliothèques livrées. Sans changement fonctionnel visible.</w:t>
      </w:r>
    </w:p>
    <w:p>
      <w:r>
        <w:t>Point technique de maintenance des bibliothèques, sans changement visible.</w:t>
      </w:r>
    </w:p>
    <w:p>
      <w:pPr>
        <w:pStyle w:val="Titre2"/>
      </w:pPr>
      <w:r>
        <w:t>EO12 : Prérequis d'installation : le pilote JDBC Oracle n'est plus livré avec l'application. Clients Oracle : vérifier sa présence dans le répertoire « lib » de Tomcat avant la montée de version (déjà le cas sur une installation en fonctionnement) [Pas de Mantis]</w:t>
      </w:r>
    </w:p>
    <w:p>
      <w:r>
        <w:t>Prérequis d'installation, dans le prolongement de EO11 — le pilote JDBC Oracle n'est plus livré avec l'application. Il était embarqué dans le paquet applicatif alors que le serveur ne s'en sert jamais depuis cet emplacement : une source de données gérée par le conteneur est construite par le serveur lui-même, qui ne lit que son propre répertoire de bibliothèques. Pour les clients Oracle, le pilote JDBC Oracle doit donc impérativement se trouver dans le répertoire « lib » de Tomcat — c'est déjà le cas sur toute installation en fonctionnement, faute de quoi la source de données n'aurait jamais pu être créée : il n'y a rien à installer, seulement à le vérifier avant la montée de version. Pour les clients MySQL et MariaDB, le pilote Oracle qui figurait jusqu'ici dans les bibliothèques de l'application disparaît du paquet livré ; s'il subsiste après une mise à jour effectuée sans redéploiement complet, il peut être supprimé sans précaution particulière — il n'a jamais été utilisé. Le paquet livré ne contient désormais plus aucun pilote de base de données, quel que soit le SGBD : le pilote relève de la configuration du serveur, comme c'était déjà le cas pour MySQL et MariaDB. En contrepartie, l'écriture des champs texte longs — seul traitement qui recourait encore à une interface propriétaire du pilote Oracle — passe désormais par l'interface JDBC standard, compatible avec tous les pilotes et tous les SGBD.</w:t>
      </w:r>
    </w:p>
    <w:p>
      <w:r>
        <w:t>Point technique concernant l'installation du serveur.</w:t>
      </w:r>
    </w:p>
    <w:p>
      <w:pPr>
        <w:pStyle w:val="Titre2"/>
      </w:pPr>
      <w:r>
        <w:t>EO13 : Le moteur XSLT Apache Xalan est retiré au profit de celui du langage, documents identiques vérifiés. Clients imprimant un catalogue de formation : « Sécurité - Restriction XSLT » peut être remis à OUI [Pas de Mantis]</w:t>
      </w:r>
    </w:p>
    <w:p>
      <w:r>
        <w:t>Poursuite de l'allègement engagé en EO11 : le moteur de transformation XSLT Apache Xalan et son module de sérialisation sont retirés de la livraison, au profit du moteur équivalent fourni par le langage. Ils étaient embarqués sans qu'aucun composant de l'application ni aucune autre bibliothèque ne les appelle, mais leur seule présence suffisait à les substituer au moteur du langage pour toutes les transformations XSLT : génération des documents PDF, et écriture des fichiers des interfaces d'échange XML. L'équivalence a été vérifiée modèle par modèle, les vingt-trois modèles de document livrés produisant le même document avec l'un comme avec l'autre moteur ; le contrôle correspondant est conservé dans le produit. Les catalogues de formation et les deux modèles de facture avaient été ajustés au préalable pour ne plus dépendre de constructions propres à ce moteur, sans changement dans les documents produits. Conséquence pour les clients qui impriment un catalogue de formation : le paramètre « Sécurité - Restriction XSLT » devait jusqu'ici être positionné à NON, le moteur retiré refusant sous cette restriction les instructions de mise en page des documents ; il peut désormais être remis à OUI. Le parc livré passe de 107 à 105 bibliothèques.</w:t>
      </w:r>
    </w:p>
    <w:p>
      <w:r>
        <w:t>Point technique de maintenance des bibliothèques, sans changement visible.</w:t>
      </w:r>
    </w:p>
    <w:p>
      <w:pPr>
        <w:pStyle w:val="Titre2"/>
      </w:pPr>
      <w:r>
        <w:t>EO14 : Les deux services web entrants disposent d'une définition OpenAPI 3.1 en ressource statique : eSedit entrant ("/openapi/wsDataSump.yaml") et services intranet ("/openapi/wsIntranet.yaml") ; fonctionnement inchangé [Pas de Mantis]</w:t>
      </w:r>
    </w:p>
    <w:p>
      <w:r>
        <w:t>Les deux services web entrants disposent désormais d'une définition OpenAPI 3.1, servie en ressource statique : le WebService eSedit entrant ("/openapi/wsDataSump.yaml" — activation, clé d'accès, codes retour et structure du document XML attendu) et les services intranet ("/openapi/wsIntranet.yaml" — historique des emplois NexSIS, synchronisation des visites médicales, requêtes API et validations en attente, avec pour chaque ressource son activation, son mode d'authentification et ses schémas d'échange). Ces définitions documentent le fonctionnement existant, sans le modifier</w:t>
      </w:r>
    </w:p>
    <w:p>
      <w:r>
        <w:t>Point technique : documentation des services web à destination des intégrateurs.</w:t>
      </w:r>
    </w:p>
    <w:p>
      <w:pPr>
        <w:pStyle w:val="Titre2"/>
      </w:pPr>
      <w:r>
        <w:t>EO15 : Fiabilisation de l'application automatique de la structure de la base aux montées de version : valeurs par défaut obsolètes retirées, traitements de fond différés jusqu'à la fin de l'application, suivi séparé par client [Pas de Mantis]</w:t>
      </w:r>
    </w:p>
    <w:p>
      <w:r>
        <w:t>Fiabilisation de l'application automatique de la structure de la base lors des montées de version. D'une part, lorsqu'un champ obligatoire assorti d'une valeur par défaut devient facultatif sans valeur par défaut, cette ancienne valeur par défaut est désormais retirée de la base : elle continuait jusqu'ici d'être enregistrée à chaque création de fiche ne renseignant pas le champ, alors que celui-ci était bien devenu facultatif. La vérification compare maintenant la valeur par défaut réellement présente en base, ce qui rattrape aussi, au premier passage, les champs déjà devenus facultatifs dont la valeur par défaut n'avait pas suivi. D'autre part, aucun traitement de mise à jour des données ne peut plus se lancer pendant l'application de la structure : au démarrage, la structure est désormais appliquée avant le lancement des traitements de fond ; les recalculs (progressions d'UV, taux de FMA, planning de formation) sont reportés à leur passage suivant, et les autres traitements de fond attendent la fin de l'application. Cela évite les verrous très longs observés lorsqu'un recalcul démarrait pendant le remplacement d'index par des clés étrangères. En multi-clients, l'application de la structure est suivie séparément pour chaque client : celle d'une base ne bloque plus, ni ne fait sauter, celle d'une autre. Enfin, le serveur MCP tient compte de ces mêmes informations : pendant une application de la structure, ses requêtes sont refusées immédiatement avec un message explicite, au lieu d'attendre la levée des verrous, et la description des champs d'une entité indique désormais si le champ est obligatoire et sa valeur par défaut éventuelle.</w:t>
      </w:r>
    </w:p>
    <w:p>
      <w:r>
        <w:t>Point technique concernant les montées de version.</w:t>
      </w:r>
    </w:p>
    <w:p>
      <w:pPr>
        <w:pStyle w:val="Titre2"/>
      </w:pPr>
      <w:r>
        <w:t>EO16 : Refonte de l'écran « Outils &gt; Notifications &gt; Courriels » en deux volets : liste filtrable des notifications groupées par module à gauche, vue d'ensemble ou fiche complète (statut, modèle, récipiendaires, pièces jointes, requêtes) à droite [Pas de Mantis]</w:t>
      </w:r>
    </w:p>
    <w:p>
      <w:r>
        <w:t>Refonte de l'écran « Outils &gt; Notifications &gt; Courriels », sur le modèle des écrans « Outils &gt; Droits &gt; Rôles » et « Outils &gt; Optimisation BD ». L'écran se présente désormais en deux volets : à gauche, la liste filtrable (et redimensionnable) des notifications, chacune avec sa pastille d'état, son libellé, son code et son modèle de courriel, qui reste visible pendant le défilement de la partie droite ; à droite, la vue d'ensemble ou la fiche de la notification choisie. Les notifications sont regroupées par module concerné (Général, Temps de travail, GPEC, Entretiens, Recrutement, Formation, Formation - Commercialisation…), les notifications personnalisées formant un groupe à part, placé en dernier. Les blocs de l'écran reprennent la présentation standard de l'application, dont le repli mémorisé pour chaque utilisateur. La vue d'ensemble présente un bloc par groupe (nombre de notifications et nombre de notifications actives), où le statut et le modèle de courriel restent modifiables directement, ainsi que le bouton « Désactiver tout ». La fiche d'une notification regroupe son libellé, son statut (choisi par boutons segmentés), son modèle de courriel, ses récipiendaires automatiques par emplacement (chacun supprimable par un bouton), l'ajout d'un récipiendaire, les documents joints et les requêtes associées ; ces éléments sont désormais toujours affichés, quel que soit le statut de la notification, y compris pour une notification encore jamais paramétrée (son paramétrage est alors créé, au statut « Désactivée », à l'ouverture de sa fiche par un utilisateur disposant du droit de modification, sans effet sur les envois). Une notification personnalisée se crée depuis le bouton « Nouveau » de la liste, et se supprime depuis sa fiche. Le libellé d'une notification se modifie désormais depuis sa fiche uniquement. Au passage, l'affichage est accéléré (la liste des modèles de courriels n'est plus relue pour chaque notification), l'écran est rendu plus accessible (alternatives textuelles des pastilles d'état, étiquettes des champs, blocs repliables utilisables au clavier) et une notification personnalisée supprimée disparaît immédiatement de la liste.</w:t>
      </w:r>
    </w:p>
    <w:p>
      <w:r>
        <w:t>Vue d'ensemble :</w:t>
      </w:r>
    </w:p>
    <w:p>
      <w:r>
        <w:drawing>
          <wp:inline xmlns:a="http://schemas.openxmlformats.org/drawingml/2006/main" xmlns:pic="http://schemas.openxmlformats.org/drawingml/2006/picture">
            <wp:extent cx="5762625" cy="3314474"/>
            <wp:docPr id="1669210171" name="Picture 1669210171" descr="EO16 - illustration 1"/>
            <wp:cNvGraphicFramePr>
              <a:graphicFrameLocks noChangeAspect="1"/>
            </wp:cNvGraphicFramePr>
            <a:graphic>
              <a:graphicData uri="http://schemas.openxmlformats.org/drawingml/2006/picture">
                <pic:pic>
                  <pic:nvPicPr>
                    <pic:cNvPr id="0" name="6-0_093.png"/>
                    <pic:cNvPicPr/>
                  </pic:nvPicPr>
                  <pic:blipFill>
                    <a:blip r:embed="rId109"/>
                    <a:stretch>
                      <a:fillRect/>
                    </a:stretch>
                  </pic:blipFill>
                  <pic:spPr>
                    <a:xfrm>
                      <a:off x="0" y="0"/>
                      <a:ext cx="5762625" cy="3314474"/>
                    </a:xfrm>
                    <a:prstGeom prst="rect"/>
                  </pic:spPr>
                </pic:pic>
              </a:graphicData>
            </a:graphic>
          </wp:inline>
        </w:drawing>
      </w:r>
    </w:p>
    <w:p>
      <w:r>
        <w:t>Fiche d'une notification :</w:t>
      </w:r>
    </w:p>
    <w:p>
      <w:r>
        <w:drawing>
          <wp:inline xmlns:a="http://schemas.openxmlformats.org/drawingml/2006/main" xmlns:pic="http://schemas.openxmlformats.org/drawingml/2006/picture">
            <wp:extent cx="5762625" cy="3314474"/>
            <wp:docPr id="1669210172" name="Picture 1669210172" descr="EO16 - illustration 2"/>
            <wp:cNvGraphicFramePr>
              <a:graphicFrameLocks noChangeAspect="1"/>
            </wp:cNvGraphicFramePr>
            <a:graphic>
              <a:graphicData uri="http://schemas.openxmlformats.org/drawingml/2006/picture">
                <pic:pic>
                  <pic:nvPicPr>
                    <pic:cNvPr id="0" name="6-0_094.png"/>
                    <pic:cNvPicPr/>
                  </pic:nvPicPr>
                  <pic:blipFill>
                    <a:blip r:embed="rId110"/>
                    <a:stretch>
                      <a:fillRect/>
                    </a:stretch>
                  </pic:blipFill>
                  <pic:spPr>
                    <a:xfrm>
                      <a:off x="0" y="0"/>
                      <a:ext cx="5762625" cy="3314474"/>
                    </a:xfrm>
                    <a:prstGeom prst="rect"/>
                  </pic:spPr>
                </pic:pic>
              </a:graphicData>
            </a:graphic>
          </wp:inline>
        </w:drawing>
      </w:r>
    </w:p>
    <w:p>
      <w:pPr>
        <w:pStyle w:val="Titre2"/>
      </w:pPr>
      <w:r>
        <w:t>EO17 : Nouveaux « Sur écran » « Livret individuel - Détails carrière » et « - Détails agent » (Outils &gt; Droits &gt; Requêtes LIF) pour afficher des informations de l'agent ou de sa carrière dans le livret individuel en consultation [Mantis #11925, #15760]</w:t>
      </w:r>
    </w:p>
    <w:p>
      <w:r>
        <w:t>Ajout des "Sur écran" "Livret individuel - Détails carrière" et "Livret individuel - Détails agent" permettant d'afficher des informations de l'agent ou de sa carrière dans les écrans de consultation du livret individuel ("GRH / Général &gt; Livrets individuels &gt; Détails des livrets individuels / agents" et "Libre-service / Général &gt; Mon Livret individuel &gt; Détails livret individuel") dans l'écran "Outils / Général &gt; Droits &gt; Requêtes LIF"</w:t>
      </w:r>
    </w:p>
    <w:p>
      <w:r>
        <w:drawing>
          <wp:inline xmlns:a="http://schemas.openxmlformats.org/drawingml/2006/main" xmlns:pic="http://schemas.openxmlformats.org/drawingml/2006/picture">
            <wp:extent cx="5762625" cy="2026052"/>
            <wp:docPr id="1669210173" name="Picture 1669210173" descr="EO17 - illustration 1"/>
            <wp:cNvGraphicFramePr>
              <a:graphicFrameLocks noChangeAspect="1"/>
            </wp:cNvGraphicFramePr>
            <a:graphic>
              <a:graphicData uri="http://schemas.openxmlformats.org/drawingml/2006/picture">
                <pic:pic>
                  <pic:nvPicPr>
                    <pic:cNvPr id="0" name="6-0_095.png"/>
                    <pic:cNvPicPr/>
                  </pic:nvPicPr>
                  <pic:blipFill>
                    <a:blip r:embed="rId111"/>
                    <a:stretch>
                      <a:fillRect/>
                    </a:stretch>
                  </pic:blipFill>
                  <pic:spPr>
                    <a:xfrm>
                      <a:off x="0" y="0"/>
                      <a:ext cx="5762625" cy="2026052"/>
                    </a:xfrm>
                    <a:prstGeom prst="rect"/>
                  </pic:spPr>
                </pic:pic>
              </a:graphicData>
            </a:graphic>
          </wp:inline>
        </w:drawing>
      </w:r>
    </w:p>
    <w:p>
      <w:r>
        <w:drawing>
          <wp:inline xmlns:a="http://schemas.openxmlformats.org/drawingml/2006/main" xmlns:pic="http://schemas.openxmlformats.org/drawingml/2006/picture">
            <wp:extent cx="5762625" cy="1974205"/>
            <wp:docPr id="1669210174" name="Picture 1669210174" descr="EO17 - illustration 2"/>
            <wp:cNvGraphicFramePr>
              <a:graphicFrameLocks noChangeAspect="1"/>
            </wp:cNvGraphicFramePr>
            <a:graphic>
              <a:graphicData uri="http://schemas.openxmlformats.org/drawingml/2006/picture">
                <pic:pic>
                  <pic:nvPicPr>
                    <pic:cNvPr id="0" name="6-0_096.png"/>
                    <pic:cNvPicPr/>
                  </pic:nvPicPr>
                  <pic:blipFill>
                    <a:blip r:embed="rId112"/>
                    <a:stretch>
                      <a:fillRect/>
                    </a:stretch>
                  </pic:blipFill>
                  <pic:spPr>
                    <a:xfrm>
                      <a:off x="0" y="0"/>
                      <a:ext cx="5762625" cy="1974205"/>
                    </a:xfrm>
                    <a:prstGeom prst="rect"/>
                  </pic:spPr>
                </pic:pic>
              </a:graphicData>
            </a:graphic>
          </wp:inline>
        </w:drawing>
      </w:r>
    </w:p>
    <w:p>
      <w:pPr>
        <w:pStyle w:val="Titre2"/>
      </w:pPr>
      <w:r>
        <w:t>EO18A : Requêteur, « Outils &gt; Requêteur &gt; Création de Requête » : champs techniques masqués par défaut (réaffichables), recherche sur les libellés des tables et des champs, saisie des conditions adaptée au type du champ (calendrier, liste, oui/non), signalement des tables non reliées et résumé en libellés métier à chaque étape. Requêtes existantes inchangées. [Pas de Mantis]</w:t>
      </w:r>
    </w:p>
    <w:p>
      <w:r>
        <w:t>Outils &gt; Requêteur &gt; Création de Requête : recherche des tables sur leur libellé (ici « carri ») :</w:t>
      </w:r>
    </w:p>
    <w:p>
      <w:r>
        <w:drawing>
          <wp:inline xmlns:a="http://schemas.openxmlformats.org/drawingml/2006/main" xmlns:pic="http://schemas.openxmlformats.org/drawingml/2006/picture">
            <wp:extent cx="5762625" cy="3430134"/>
            <wp:docPr id="1669210175" name="Picture 1669210175" descr="EO18A - illustration 1"/>
            <wp:cNvGraphicFramePr>
              <a:graphicFrameLocks noChangeAspect="1"/>
            </wp:cNvGraphicFramePr>
            <a:graphic>
              <a:graphicData uri="http://schemas.openxmlformats.org/drawingml/2006/picture">
                <pic:pic>
                  <pic:nvPicPr>
                    <pic:cNvPr id="0" name="6-0_097.png"/>
                    <pic:cNvPicPr/>
                  </pic:nvPicPr>
                  <pic:blipFill>
                    <a:blip r:embed="rId113"/>
                    <a:stretch>
                      <a:fillRect/>
                    </a:stretch>
                  </pic:blipFill>
                  <pic:spPr>
                    <a:xfrm>
                      <a:off x="0" y="0"/>
                      <a:ext cx="5762625" cy="3430134"/>
                    </a:xfrm>
                    <a:prstGeom prst="rect"/>
                  </pic:spPr>
                </pic:pic>
              </a:graphicData>
            </a:graphic>
          </wp:inline>
        </w:drawing>
      </w:r>
    </w:p>
    <w:p>
      <w:r>
        <w:t>Sélection des champs : les champs techniques (clés, colonnes d'audit) sont masqués par défaut et peuvent être réaffichés ; recherche d'un champ par son libellé :</w:t>
      </w:r>
    </w:p>
    <w:p>
      <w:r>
        <w:drawing>
          <wp:inline xmlns:a="http://schemas.openxmlformats.org/drawingml/2006/main" xmlns:pic="http://schemas.openxmlformats.org/drawingml/2006/picture">
            <wp:extent cx="5762625" cy="2858445"/>
            <wp:docPr id="1669210176" name="Picture 1669210176" descr="EO18A - illustration 2"/>
            <wp:cNvGraphicFramePr>
              <a:graphicFrameLocks noChangeAspect="1"/>
            </wp:cNvGraphicFramePr>
            <a:graphic>
              <a:graphicData uri="http://schemas.openxmlformats.org/drawingml/2006/picture">
                <pic:pic>
                  <pic:nvPicPr>
                    <pic:cNvPr id="0" name="6-0_098.png"/>
                    <pic:cNvPicPr/>
                  </pic:nvPicPr>
                  <pic:blipFill>
                    <a:blip r:embed="rId114"/>
                    <a:stretch>
                      <a:fillRect/>
                    </a:stretch>
                  </pic:blipFill>
                  <pic:spPr>
                    <a:xfrm>
                      <a:off x="0" y="0"/>
                      <a:ext cx="5762625" cy="2858445"/>
                    </a:xfrm>
                    <a:prstGeom prst="rect"/>
                  </pic:spPr>
                </pic:pic>
              </a:graphicData>
            </a:graphic>
          </wp:inline>
        </w:drawing>
      </w:r>
    </w:p>
    <w:p>
      <w:pPr>
        <w:pStyle w:val="Titre2"/>
      </w:pPr>
      <w:r>
        <w:t>EO18B : Requêteur : nouvelle étape « Sujets métier ». L'utilisateur choisit un sujet (67 livrés, selon les modules actifs), coche les champs, renseigne les filtres, et la requête est construite pour lui dans son périmètre de gestion. Elle reste une requête ordinaire, rouvrable dans l'assistant ; la date ou la période est demandée à chaque exécution. [Pas de Mantis]</w:t>
      </w:r>
    </w:p>
    <w:p>
      <w:r>
        <w:t>Nouvelle étape « Sujets métier » : les sujets sont regroupés par domaine, avec une recherche :</w:t>
      </w:r>
    </w:p>
    <w:p>
      <w:r>
        <w:drawing>
          <wp:inline xmlns:a="http://schemas.openxmlformats.org/drawingml/2006/main" xmlns:pic="http://schemas.openxmlformats.org/drawingml/2006/picture">
            <wp:extent cx="5762625" cy="4230499"/>
            <wp:docPr id="1669210177" name="Picture 1669210177" descr="EO18B - illustration 1"/>
            <wp:cNvGraphicFramePr>
              <a:graphicFrameLocks noChangeAspect="1"/>
            </wp:cNvGraphicFramePr>
            <a:graphic>
              <a:graphicData uri="http://schemas.openxmlformats.org/drawingml/2006/picture">
                <pic:pic>
                  <pic:nvPicPr>
                    <pic:cNvPr id="0" name="6-0_099.png"/>
                    <pic:cNvPicPr/>
                  </pic:nvPicPr>
                  <pic:blipFill>
                    <a:blip r:embed="rId115"/>
                    <a:stretch>
                      <a:fillRect/>
                    </a:stretch>
                  </pic:blipFill>
                  <pic:spPr>
                    <a:xfrm>
                      <a:off x="0" y="0"/>
                      <a:ext cx="5762625" cy="4230499"/>
                    </a:xfrm>
                    <a:prstGeom prst="rect"/>
                  </pic:spPr>
                </pic:pic>
              </a:graphicData>
            </a:graphic>
          </wp:inline>
        </w:drawing>
      </w:r>
    </w:p>
    <w:p>
      <w:r>
        <w:t>Un sujet choisi : champs à afficher à cocher, filtres facultatifs, puis « Construire la requête » :</w:t>
      </w:r>
    </w:p>
    <w:p>
      <w:r>
        <w:drawing>
          <wp:inline xmlns:a="http://schemas.openxmlformats.org/drawingml/2006/main" xmlns:pic="http://schemas.openxmlformats.org/drawingml/2006/picture">
            <wp:extent cx="5762625" cy="4859356"/>
            <wp:docPr id="1669210178" name="Picture 1669210178" descr="EO18B - illustration 2"/>
            <wp:cNvGraphicFramePr>
              <a:graphicFrameLocks noChangeAspect="1"/>
            </wp:cNvGraphicFramePr>
            <a:graphic>
              <a:graphicData uri="http://schemas.openxmlformats.org/drawingml/2006/picture">
                <pic:pic>
                  <pic:nvPicPr>
                    <pic:cNvPr id="0" name="6-0_100.png"/>
                    <pic:cNvPicPr/>
                  </pic:nvPicPr>
                  <pic:blipFill>
                    <a:blip r:embed="rId116"/>
                    <a:stretch>
                      <a:fillRect/>
                    </a:stretch>
                  </pic:blipFill>
                  <pic:spPr>
                    <a:xfrm>
                      <a:off x="0" y="0"/>
                      <a:ext cx="5762625" cy="4859356"/>
                    </a:xfrm>
                    <a:prstGeom prst="rect"/>
                  </pic:spPr>
                </pic:pic>
              </a:graphicData>
            </a:graphic>
          </wp:inline>
        </w:drawing>
      </w:r>
    </w:p>
    <w:p>
      <w:pPr>
        <w:pStyle w:val="Titre2"/>
      </w:pPr>
      <w:r>
        <w:t>EO18C : Requêteur : une saisie demandée à l'exécution et citée plusieurs fois dans une requête (ex. une date de situation) n'est plus demandée qu'une fois et s'applique à toutes ses occurrences. [Pas de Mantis]</w:t>
      </w:r>
    </w:p>
    <w:p>
      <w:r>
        <w:t>À l'exécution d'une requête construite sur le sujet « Grade et affectation à une date », la date de situation, utilisée par plusieurs conditions, n'est demandée qu'une fois :</w:t>
      </w:r>
    </w:p>
    <w:p>
      <w:r>
        <w:drawing>
          <wp:inline xmlns:a="http://schemas.openxmlformats.org/drawingml/2006/main" xmlns:pic="http://schemas.openxmlformats.org/drawingml/2006/picture">
            <wp:extent cx="5762625" cy="3813502"/>
            <wp:docPr id="1669210179" name="Picture 1669210179" descr="EO18C - illustration 1"/>
            <wp:cNvGraphicFramePr>
              <a:graphicFrameLocks noChangeAspect="1"/>
            </wp:cNvGraphicFramePr>
            <a:graphic>
              <a:graphicData uri="http://schemas.openxmlformats.org/drawingml/2006/picture">
                <pic:pic>
                  <pic:nvPicPr>
                    <pic:cNvPr id="0" name="6-0_101.png"/>
                    <pic:cNvPicPr/>
                  </pic:nvPicPr>
                  <pic:blipFill>
                    <a:blip r:embed="rId117"/>
                    <a:stretch>
                      <a:fillRect/>
                    </a:stretch>
                  </pic:blipFill>
                  <pic:spPr>
                    <a:xfrm>
                      <a:off x="0" y="0"/>
                      <a:ext cx="5762625" cy="3813502"/>
                    </a:xfrm>
                    <a:prstGeom prst="rect"/>
                  </pic:spPr>
                </pic:pic>
              </a:graphicData>
            </a:graphic>
          </wp:inline>
        </w:drawing>
      </w:r>
    </w:p>
    <w:p>
      <w:pPr>
        <w:pStyle w:val="Titre2"/>
      </w:pPr>
      <w:r>
        <w:t>CO01 : Correction des raccourcis « Administration » (clé à molette à côté d'une liste déroulante) : 41 adresses erronées corrigées ou retirées, dont un seul cas visible (générateurs de mouvements de la Paie DGFIP). Aucun droit ni écran modifié [Pas de Mantis]</w:t>
      </w:r>
    </w:p>
    <w:p>
      <w:r>
        <w:t>Correction des raccourcis « Administration » des écrans de saisie — le bouton en forme de clé à molette qui, à côté d'une liste déroulante, ouvre l'écran où se gère la donnée proposée. Le contrôle systématique de ces raccourcis a relevé 41 adresses erronées : adresse vide, adresse incomplète, ou adresse désignant un onglet qui ne gère pas la donnée concernée. Un seul cas était réellement visible : dans « Paie / DGFIP &gt; Administration &gt; Paie DGFIP &gt; Générateurs », le raccourci placé à côté du numéro de schéma des générateurs de mouvements rouvrait dans un nouvel onglet l'écran sur lequel l'utilisateur se trouvait déjà — il est supprimé. Les quarante autres adresses ne produisaient aucun bouton, faute d'écran existant à l'adresse indiquée ou de saisie proposant la donnée : elles sont corrigées vers l'écran réel lorsqu'il en existe un (pré-requis de stage, cycle de travail d'un agent, lignes de détail d'un devis — ces dernières reçoivent au passage la mention « administrable par écran de liste » qui leur manquait, l'écran qui les déplie en étant bien un), et retirées lorsque la donnée n'est administrée par aucun écran (base de paie DGFIP, résultats de calcul de paie interne, cotisations de protection sociale, équivalences de droits, ordre personnalisé des boutons). Dans ce dernier cas, la mention « administrable par écran de liste » portée par ces données, qui annonçait un écran inexistant, est retirée également. Aucune donnée, aucun droit et aucun autre écran n'est modifié</w:t>
      </w:r>
    </w:p>
    <w:p>
      <w:r>
        <w:t>Point technique de renforcement de la sécurité.</w:t>
      </w:r>
    </w:p>
    <w:p>
      <w:pPr>
        <w:pStyle w:val="Titre2"/>
      </w:pPr>
      <w:r>
        <w:t>CO02 : MySQL/MariaDB : les tables créées automatiquement reprennent le jeu de caractères et la collation de la base, évitant les erreurs de mélange de collations ; les tables déjà créées différemment restent à convertir à la main [Pas de Mantis]</w:t>
      </w:r>
    </w:p>
    <w:p>
      <w:r>
        <w:t>Correction de la création automatique des tables sous MySQL/MariaDB (application de la structure de la base) : le jeu de caractères des nouvelles tables était imposé par l'application et pouvait différer de celui du reste de la base selon la version du serveur (tables créées en utf8mb3 ou utf8mb4 dans une base qui ne l'est pas), ce qui provoquait des erreurs de mélange de collations dans certains écrans et obligeait à convertir les tables à la main. Les tables créées reprennent désormais le jeu de caractères et la collation des tables déjà présentes dans la base (à défaut, sur une base neuve, ceux par défaut de la base). Les tables déjà créées avec un jeu de caractères différent restent à convertir manuellement. Sans impact sous Oracle.</w:t>
      </w:r>
    </w:p>
    <w:p>
      <w:r>
        <w:t>Point technique concernant les bases MySQL / MariaDB.</w:t>
      </w:r>
    </w:p>
    <w:p>
      <w:pPr>
        <w:pStyle w:val="Titre2"/>
      </w:pPr>
      <w:r>
        <w:t>CO03 : Interface d'export des membres du CESE : le pays du lieu de naissance provient désormais de la Nationalité (donnée reliée au référentiel), et non plus du champ « Pays de naissance » en saisie libre, pour un libellé toujours normalisé. [Mantis #18876]</w:t>
      </w:r>
    </w:p>
    <w:p>
      <w:r>
        <w:t>Point technique concernant le fichier produit par l'interface.</w:t>
      </w:r>
    </w:p>
    <w:p>
      <w:pPr>
        <w:pStyle w:val="Titre2"/>
      </w:pPr>
      <w:r>
        <w:t>CO04 : Historique de l'écran « Outils &gt; Audits &gt; Audit des Sessions » : il restait vide car il lisait un ancien nom de journal ; il relit désormais les fichiers datés, et chaque client ne consulte que ses propres sessions [Pas de Mantis]</w:t>
      </w:r>
    </w:p>
    <w:p>
      <w:r>
        <w:t>Correction de l'historique de l'écran « Outils &gt; Audits &gt; Audit des Sessions » : il indiquait toujours « Aucun fichier historique pour le moment », car il cherchait le journal des sessions sous son ancien nom alors que celui-ci est écrit depuis la version 3.39 dans des fichiers datés. L'historique relit désormais l'ensemble de ces fichiers, ce qui reconstitue aussi les sessions ouvertes avant un redémarrage du serveur et fermées après, et reconnaît les ouvertures de session quel que soit le jeu de caractères du serveur. En multi-clients, chaque client ne consulte que l'historique de ses propres sessions</w:t>
      </w:r>
    </w:p>
    <w:p>
      <w:r>
        <w:drawing>
          <wp:inline xmlns:a="http://schemas.openxmlformats.org/drawingml/2006/main" xmlns:pic="http://schemas.openxmlformats.org/drawingml/2006/picture">
            <wp:extent cx="5762625" cy="1893985"/>
            <wp:docPr id="1669210180" name="Picture 1669210180" descr="CO04 - illustration 1"/>
            <wp:cNvGraphicFramePr>
              <a:graphicFrameLocks noChangeAspect="1"/>
            </wp:cNvGraphicFramePr>
            <a:graphic>
              <a:graphicData uri="http://schemas.openxmlformats.org/drawingml/2006/picture">
                <pic:pic>
                  <pic:nvPicPr>
                    <pic:cNvPr id="0" name="6-0_102.png"/>
                    <pic:cNvPicPr/>
                  </pic:nvPicPr>
                  <pic:blipFill>
                    <a:blip r:embed="rId119"/>
                    <a:stretch>
                      <a:fillRect/>
                    </a:stretch>
                  </pic:blipFill>
                  <pic:spPr>
                    <a:xfrm>
                      <a:off x="0" y="0"/>
                      <a:ext cx="5762625" cy="1893985"/>
                    </a:xfrm>
                    <a:prstGeom prst="rect"/>
                  </pic:spPr>
                </pic:pic>
              </a:graphicData>
            </a:graphic>
          </wp:inline>
        </w:drawing>
      </w:r>
    </w:p>
    <w:p>
      <w:pPr>
        <w:pStyle w:val="Titre2"/>
      </w:pPr>
      <w:r>
        <w:t>CO05 : Interface d'export des membres du CESE : les rubriques à date de fin (bureau, collège/groupe, affectations) cessent d'être reprises dès le jour de leur date de fin, et non plus le lendemain. [Mantis #18875]</w:t>
      </w:r>
    </w:p>
    <w:p>
      <w:r>
        <w:t>Point technique concernant le fichier produit par l'interface.</w:t>
      </w:r>
    </w:p>
    <w:p>
      <w:pPr>
        <w:pStyle w:val="Titre2"/>
      </w:pPr>
      <w:r>
        <w:t>CO06 : Interface d'export des membres du CESE : correction de l'encodage du fichier (désormais en UTF-8 conforme à sa déclaration), qui le rendait invalide en présence de caractères accentués. [Mantis #18875]</w:t>
      </w:r>
    </w:p>
    <w:p>
      <w:r>
        <w:t>Point technique concernant le fichier produit par l'interface.</w:t>
      </w:r>
    </w:p>
    <w:p>
      <w:pPr>
        <w:pStyle w:val="Titre2"/>
      </w:pPr>
      <w:r>
        <w:t>CO07 : MySQL/MariaDB : l'application de la structure de la base ne s'interrompt plus quand une session de formation annulée porte un utilisateur supprimé depuis ; l'auteur de l'annulation n'est repris que pour les utilisateurs existants, comme sous Oracle [Pas de Mantis]</w:t>
      </w:r>
    </w:p>
    <w:p>
      <w:r>
        <w:t>Point technique, sans illustration.</w:t>
      </w:r>
    </w:p>
    <w:p>
      <w:pPr>
        <w:pStyle w:val="Titre2"/>
      </w:pPr>
      <w:r>
        <w:t>CO08 : Correction de l'écran « Outils &gt; Personnalisations &gt; Champs supplémentaires » : la modification d'un champ existant (libellé, type, longueur…) renommait le dernier champ créé au lieu de mettre à jour le champ modifié. [Pas de Mantis]</w:t>
      </w:r>
    </w:p>
    <w:p>
      <w:r>
        <w:t>Outils &gt; Personnalisations &gt; Champs supplémentaires : modification du premier des deux champs créés (valeur maximale et unité) :</w:t>
      </w:r>
    </w:p>
    <w:p>
      <w:r>
        <w:drawing>
          <wp:inline xmlns:a="http://schemas.openxmlformats.org/drawingml/2006/main" xmlns:pic="http://schemas.openxmlformats.org/drawingml/2006/picture">
            <wp:extent cx="5762625" cy="2747014"/>
            <wp:docPr id="1669210181" name="Picture 1669210181" descr="CO08 - illustration 1"/>
            <wp:cNvGraphicFramePr>
              <a:graphicFrameLocks noChangeAspect="1"/>
            </wp:cNvGraphicFramePr>
            <a:graphic>
              <a:graphicData uri="http://schemas.openxmlformats.org/drawingml/2006/picture">
                <pic:pic>
                  <pic:nvPicPr>
                    <pic:cNvPr id="0" name="6-0_103.png"/>
                    <pic:cNvPicPr/>
                  </pic:nvPicPr>
                  <pic:blipFill>
                    <a:blip r:embed="rId120"/>
                    <a:stretch>
                      <a:fillRect/>
                    </a:stretch>
                  </pic:blipFill>
                  <pic:spPr>
                    <a:xfrm>
                      <a:off x="0" y="0"/>
                      <a:ext cx="5762625" cy="2747014"/>
                    </a:xfrm>
                    <a:prstGeom prst="rect"/>
                  </pic:spPr>
                </pic:pic>
              </a:graphicData>
            </a:graphic>
          </wp:inline>
        </w:drawing>
      </w:r>
    </w:p>
    <w:p>
      <w:r>
        <w:t>La modification est appliquée au champ modifié ; le dernier champ créé reste inchangé :</w:t>
      </w:r>
    </w:p>
    <w:p>
      <w:r>
        <w:drawing>
          <wp:inline xmlns:a="http://schemas.openxmlformats.org/drawingml/2006/main" xmlns:pic="http://schemas.openxmlformats.org/drawingml/2006/picture">
            <wp:extent cx="5762625" cy="1589295"/>
            <wp:docPr id="1669210182" name="Picture 1669210182" descr="CO08 - illustration 2"/>
            <wp:cNvGraphicFramePr>
              <a:graphicFrameLocks noChangeAspect="1"/>
            </wp:cNvGraphicFramePr>
            <a:graphic>
              <a:graphicData uri="http://schemas.openxmlformats.org/drawingml/2006/picture">
                <pic:pic>
                  <pic:nvPicPr>
                    <pic:cNvPr id="0" name="6-0_104.png"/>
                    <pic:cNvPicPr/>
                  </pic:nvPicPr>
                  <pic:blipFill>
                    <a:blip r:embed="rId121"/>
                    <a:stretch>
                      <a:fillRect/>
                    </a:stretch>
                  </pic:blipFill>
                  <pic:spPr>
                    <a:xfrm>
                      <a:off x="0" y="0"/>
                      <a:ext cx="5762625" cy="1589295"/>
                    </a:xfrm>
                    <a:prstGeom prst="rect"/>
                  </pic:spPr>
                </pic:pic>
              </a:graphicData>
            </a:graphic>
          </wp:inline>
        </w:drawing>
      </w:r>
    </w:p>
    <w:p>
      <w:pPr>
        <w:pStyle w:val="Titre2"/>
      </w:pPr>
      <w:r>
        <w:t>CO09 : « Outils &gt; Personnalisations &gt; Champs supplémentaires » : une valeur par défaut incompatible avec le type (texte pour un entier, date mal formée…) ou une longueur hors de 1 à 100 est refusée avec un message ; une telle valeur déjà saisie n'empêche plus la mise à jour de la structure au démarrage [Pas de Mantis]</w:t>
      </w:r>
    </w:p>
    <w:p>
      <w:r>
        <w:t>Outils &gt; Personnalisations &gt; Champs supplémentaires : un champ entier enregistré avec une valeur par défaut non numérique est refusé, avec le message indiquant le format attendu :</w:t>
      </w:r>
    </w:p>
    <w:p>
      <w:r>
        <w:drawing>
          <wp:inline xmlns:a="http://schemas.openxmlformats.org/drawingml/2006/main" xmlns:pic="http://schemas.openxmlformats.org/drawingml/2006/picture">
            <wp:extent cx="5762625" cy="2652637"/>
            <wp:docPr id="1669210183" name="Picture 1669210183" descr="CO09 - illustration 1"/>
            <wp:cNvGraphicFramePr>
              <a:graphicFrameLocks noChangeAspect="1"/>
            </wp:cNvGraphicFramePr>
            <a:graphic>
              <a:graphicData uri="http://schemas.openxmlformats.org/drawingml/2006/picture">
                <pic:pic>
                  <pic:nvPicPr>
                    <pic:cNvPr id="0" name="6-0_105.png"/>
                    <pic:cNvPicPr/>
                  </pic:nvPicPr>
                  <pic:blipFill>
                    <a:blip r:embed="rId122"/>
                    <a:stretch>
                      <a:fillRect/>
                    </a:stretch>
                  </pic:blipFill>
                  <pic:spPr>
                    <a:xfrm>
                      <a:off x="0" y="0"/>
                      <a:ext cx="5762625" cy="2652637"/>
                    </a:xfrm>
                    <a:prstGeom prst="rect"/>
                  </pic:spPr>
                </pic:pic>
              </a:graphicData>
            </a:graphic>
          </wp:inline>
        </w:drawing>
      </w:r>
    </w:p>
    <w:p>
      <w:r>
        <w:t>Outils &gt; Personnalisations &gt; Champs supplémentaires, ajout d'un champ : l'infobulle de la valeur par défaut rappelle le format attendu selon le type :</w:t>
      </w:r>
    </w:p>
    <w:p>
      <w:r>
        <w:drawing>
          <wp:inline xmlns:a="http://schemas.openxmlformats.org/drawingml/2006/main" xmlns:pic="http://schemas.openxmlformats.org/drawingml/2006/picture">
            <wp:extent cx="5762625" cy="2743816"/>
            <wp:docPr id="1669210184" name="Picture 1669210184" descr="CO09 - illustration 2"/>
            <wp:cNvGraphicFramePr>
              <a:graphicFrameLocks noChangeAspect="1"/>
            </wp:cNvGraphicFramePr>
            <a:graphic>
              <a:graphicData uri="http://schemas.openxmlformats.org/drawingml/2006/picture">
                <pic:pic>
                  <pic:nvPicPr>
                    <pic:cNvPr id="0" name="6-0_106.png"/>
                    <pic:cNvPicPr/>
                  </pic:nvPicPr>
                  <pic:blipFill>
                    <a:blip r:embed="rId123"/>
                    <a:stretch>
                      <a:fillRect/>
                    </a:stretch>
                  </pic:blipFill>
                  <pic:spPr>
                    <a:xfrm>
                      <a:off x="0" y="0"/>
                      <a:ext cx="5762625" cy="2743816"/>
                    </a:xfrm>
                    <a:prstGeom prst="rect"/>
                  </pic:spPr>
                </pic:pic>
              </a:graphicData>
            </a:graphic>
          </wp:inline>
        </w:drawing>
      </w:r>
    </w:p>
    <w:p>
      <w:pPr>
        <w:pStyle w:val="Titre2"/>
      </w:pPr>
      <w:r>
        <w:t>CO10 : Synchronisation des profils avec l'annuaire LDAP : les recherches sont désormais paginées, ce qui lève la limite de 1000 entrées d'Active Directory (au-delà, la liste était tronquée sans message et des comptes pouvaient être désactivés à tort). Si l'annuaire tronque malgré tout, aucun compte n'est désactivé et un avertissement est journalisé. [Pas de Mantis]</w:t>
      </w:r>
    </w:p>
    <w:p>
      <w:r>
        <w:t>Point technique, sans illustration.</w:t>
      </w:r>
    </w:p>
    <w:p>
      <w:pPr>
        <w:pStyle w:val="Titre2"/>
      </w:pPr>
      <w:r>
        <w:t>CO11 : Synchronisation des utilisateurs vers l'annuaire LDAP : renseigner le paramètre « LDAP+ - Attribut : ORGANIGRAMME NIV 0 » faisait échouer la préparation des attributs de chaque agent. Ce niveau publie désormais le service de l'agent ; les niveaux 1 à 5 sont inchangés [Pas de Mantis]</w:t>
      </w:r>
    </w:p>
    <w:p>
      <w:r>
        <w:t>Point technique, sans illustration.</w:t>
      </w:r>
    </w:p>
    <w:p>
      <w:r>
        <w:br w:type="page"/>
      </w:r>
    </w:p>
    <w:p>
      <w:pPr>
        <w:pStyle w:val="Titre1"/>
      </w:pPr>
      <w:r>
        <w:t>Application mobile</w:t>
      </w:r>
    </w:p>
    <w:p>
      <w:pPr>
        <w:pStyle w:val="Titre2"/>
      </w:pPr>
      <w:r>
        <w:t>EM01 : L'API de l'application mobile dispose d'une définition OpenAPI 3.1 ("/grpc?getOpenApi"), consultable avec les outils standard (Swagger UI, Redoc…), à côté de la définition Protobuf ; comportement de l'API inchangé [Pas de Mantis]</w:t>
      </w:r>
    </w:p>
    <w:p>
      <w:r>
        <w:t>L'API de l'application mobile dispose désormais d'une définition OpenAPI 3.1 consultable avec les outils standard (Swagger UI, Redoc, générateurs de clients). Elle est servie par l'application elle-même sur la ressource "/grpc?getOpenApi", au même titre que la définition Protobuf existante ("/grpc?getProto") : opérations, paramètres, schémas de réponse, flux d'authentification par jeton, et schéma de chacun des messages déclarés dans le dictionnaire de données, complétés à la volée avec la version applicative. Le gabarit sans les schémas de messages reste consultable en ressource statique ("/openapi/grpc.yaml"). Sans changement de comportement de l'API</w:t>
      </w:r>
    </w:p>
    <w:p>
      <w:r>
        <w:t>Point technique : documentation de l'API à destination des intégrateurs.</w:t>
      </w:r>
    </w:p>
    <w:p>
      <w:pPr>
        <w:pStyle w:val="Titre2"/>
      </w:pPr>
      <w:r>
        <w:t>EM02A : Application mobile 2.1 : nouvel écran « Badgeage » pour l'agent lui-même, selon sa règle de badgeage (« Je badge » en e-badge, déclaration datée en mode déclaratif) ; l'entrée n'apparaît pas pour un agent non soumis au badgeage [Mantis #19750]</w:t>
      </w:r>
    </w:p>
    <w:p>
      <w:r>
        <w:t>L'application mobile (version 2.1) propose désormais le badgeage de l'agent pour lui-même, dans un nouvel écran « Badgeage » du menu. L'accès ne dépend d'aucun droit d'écran : il suit la règle de badgeage en vigueur pour l'agent — bouton « Je badge » pour les modes e-badge, déclaration d'un badgeage à une date et une heure saisies (avec commentaire) pour les modes déclaratifs. L'entrée de menu n'apparaît pas pour un agent non soumis au badgeage</w:t>
      </w:r>
    </w:p>
    <w:p>
      <w:r>
        <w:drawing>
          <wp:inline xmlns:a="http://schemas.openxmlformats.org/drawingml/2006/main" xmlns:pic="http://schemas.openxmlformats.org/drawingml/2006/picture">
            <wp:extent cx="1323975" cy="2880372"/>
            <wp:docPr id="1669210185" name="Picture 1669210185" descr="EM02A - illustration 1"/>
            <wp:cNvGraphicFramePr>
              <a:graphicFrameLocks noChangeAspect="1"/>
            </wp:cNvGraphicFramePr>
            <a:graphic>
              <a:graphicData uri="http://schemas.openxmlformats.org/drawingml/2006/picture">
                <pic:pic>
                  <pic:nvPicPr>
                    <pic:cNvPr id="0" name="6-0_107.png"/>
                    <pic:cNvPicPr/>
                  </pic:nvPicPr>
                  <pic:blipFill>
                    <a:blip r:embed="rId124"/>
                    <a:stretch>
                      <a:fillRect/>
                    </a:stretch>
                  </pic:blipFill>
                  <pic:spPr>
                    <a:xfrm>
                      <a:off x="0" y="0"/>
                      <a:ext cx="1323975" cy="2880372"/>
                    </a:xfrm>
                    <a:prstGeom prst="rect"/>
                  </pic:spPr>
                </pic:pic>
              </a:graphicData>
            </a:graphic>
          </wp:inline>
        </w:drawing>
      </w:r>
    </w:p>
    <w:p>
      <w:pPr>
        <w:pStyle w:val="Titre2"/>
      </w:pPr>
      <w:r>
        <w:t>EM02B : Le badgeage immédiat est horodaté à l'heure du serveur, jamais à celle du téléphone, comme sur une badgeuse, et il est enregistré validé. Une déclaration part « à valider » par le responsable, sauf pour un agent en déclaratif auto-validé. Les badgeages saisis depuis l'application portent la source « VIRTUALIA/MOBILE » (« VIRTUALIA/PC » depuis le portail) [Mantis #19750]</w:t>
      </w:r>
    </w:p>
    <w:p>
      <w:r>
        <w:drawing>
          <wp:inline xmlns:a="http://schemas.openxmlformats.org/drawingml/2006/main" xmlns:pic="http://schemas.openxmlformats.org/drawingml/2006/picture">
            <wp:extent cx="1323975" cy="2876222"/>
            <wp:docPr id="1669210186" name="Picture 1669210186" descr="EM02B - illustration 1"/>
            <wp:cNvGraphicFramePr>
              <a:graphicFrameLocks noChangeAspect="1"/>
            </wp:cNvGraphicFramePr>
            <a:graphic>
              <a:graphicData uri="http://schemas.openxmlformats.org/drawingml/2006/picture">
                <pic:pic>
                  <pic:nvPicPr>
                    <pic:cNvPr id="0" name="6-0_108.png"/>
                    <pic:cNvPicPr/>
                  </pic:nvPicPr>
                  <pic:blipFill>
                    <a:blip r:embed="rId125"/>
                    <a:stretch>
                      <a:fillRect/>
                    </a:stretch>
                  </pic:blipFill>
                  <pic:spPr>
                    <a:xfrm>
                      <a:off x="0" y="0"/>
                      <a:ext cx="1323975" cy="2876222"/>
                    </a:xfrm>
                    <a:prstGeom prst="rect"/>
                  </pic:spPr>
                </pic:pic>
              </a:graphicData>
            </a:graphic>
          </wp:inline>
        </w:drawing>
      </w:r>
    </w:p>
    <w:p>
      <w:pPr>
        <w:pStyle w:val="Titre2"/>
      </w:pPr>
      <w:r>
        <w:t>EM02C : Badgeage mobile : calendrier semaine / mois avec une pastille par journée selon l'état de validation, détail des badgeages d'un jour, déclaration limitée au passé, suppression selon les mêmes règles que sur l'accueil [Mantis #19750]</w:t>
      </w:r>
    </w:p>
    <w:p>
      <w:r>
        <w:t>L'écran s'ouvre sur un calendrier (bande de la semaine, dépliable en mois) : chaque journée badgée y porte une pastille colorée selon son état de validation le plus défavorable (rejeté, puis à valider, puis validé), ce qui permet de retrouver un rattrapage déclaré pour un jour passé et de suivre sa validation. Un appui sur un jour liste ses badgeages avec les informations de la validation des badgeages du portail : jour, heure, sens, état de validation, source et commentaires. Après une déclaration, l'écran se place sur le jour déclaré ; l'application ne propose de déclarer qu'à une date et une heure passées. La suppression, par balayage de la carte ou depuis son menu d'actions, suit les règles du bloc « Badgeage » de l'accueil : possible tant que le badgeage n'est pas validé, ou à tout moment pour un agent en déclaratif auto-validé</w:t>
      </w:r>
    </w:p>
    <w:p>
      <w:r>
        <w:drawing>
          <wp:inline xmlns:a="http://schemas.openxmlformats.org/drawingml/2006/main" xmlns:pic="http://schemas.openxmlformats.org/drawingml/2006/picture">
            <wp:extent cx="1323975" cy="2876222"/>
            <wp:docPr id="1669210187" name="Picture 1669210187" descr="EM02C - illustration 1"/>
            <wp:cNvGraphicFramePr>
              <a:graphicFrameLocks noChangeAspect="1"/>
            </wp:cNvGraphicFramePr>
            <a:graphic>
              <a:graphicData uri="http://schemas.openxmlformats.org/drawingml/2006/picture">
                <pic:pic>
                  <pic:nvPicPr>
                    <pic:cNvPr id="0" name="6-0_109.png"/>
                    <pic:cNvPicPr/>
                  </pic:nvPicPr>
                  <pic:blipFill>
                    <a:blip r:embed="rId126"/>
                    <a:stretch>
                      <a:fillRect/>
                    </a:stretch>
                  </pic:blipFill>
                  <pic:spPr>
                    <a:xfrm>
                      <a:off x="0" y="0"/>
                      <a:ext cx="1323975" cy="2876222"/>
                    </a:xfrm>
                    <a:prstGeom prst="rect"/>
                  </pic:spPr>
                </pic:pic>
              </a:graphicData>
            </a:graphic>
          </wp:inline>
        </w:drawing>
      </w:r>
    </w:p>
    <w:p>
      <w:pPr>
        <w:pStyle w:val="Titre2"/>
      </w:pPr>
      <w:r>
        <w:t>EM02D : Hors connexion, le badgeage et la déclaration sont désactivés : une action rejouée à la reconnexion serait horodatée à l'heure de sa reprise et non à celle du geste [Mantis #19750]</w:t>
      </w:r>
    </w:p>
    <w:p>
      <w:r>
        <w:drawing>
          <wp:inline xmlns:a="http://schemas.openxmlformats.org/drawingml/2006/main" xmlns:pic="http://schemas.openxmlformats.org/drawingml/2006/picture">
            <wp:extent cx="1323975" cy="2876222"/>
            <wp:docPr id="1669210188" name="Picture 1669210188" descr="EM02D - illustration 1"/>
            <wp:cNvGraphicFramePr>
              <a:graphicFrameLocks noChangeAspect="1"/>
            </wp:cNvGraphicFramePr>
            <a:graphic>
              <a:graphicData uri="http://schemas.openxmlformats.org/drawingml/2006/picture">
                <pic:pic>
                  <pic:nvPicPr>
                    <pic:cNvPr id="0" name="6-0_110.png"/>
                    <pic:cNvPicPr/>
                  </pic:nvPicPr>
                  <pic:blipFill>
                    <a:blip r:embed="rId127"/>
                    <a:stretch>
                      <a:fillRect/>
                    </a:stretch>
                  </pic:blipFill>
                  <pic:spPr>
                    <a:xfrm>
                      <a:off x="0" y="0"/>
                      <a:ext cx="1323975" cy="2876222"/>
                    </a:xfrm>
                    <a:prstGeom prst="rect"/>
                  </pic:spPr>
                </pic:pic>
              </a:graphicData>
            </a:graphic>
          </wp:inline>
        </w:drawing>
      </w:r>
    </w:p>
    <w:p>
      <w:pPr>
        <w:pStyle w:val="Titre2"/>
      </w:pPr>
      <w:r>
        <w:t>EM02E : Une nouvelle ressource de l'API mobile renvoie, pour l'agent connecté et sur une période d'au plus 62 jours, ses journées badgées avec leur nombre de badgeages et leur état de validation le plus défavorable ; une période illisible ou trop longue est refusée [Mantis #19750]</w:t>
      </w:r>
    </w:p>
    <w:p>
      <w:r>
        <w:t>Point technique : nouvelle ressource de l'API mobile.</w:t>
      </w:r>
    </w:p>
    <w:p>
      <w:pPr>
        <w:pStyle w:val="Titre2"/>
      </w:pPr>
      <w:r>
        <w:t>EM02F : Règles de badgeage (autorisation, saisie, suppression) communes à l'accueil et à l'application mobile, sans changement sur le portail ; l'application reçoit les mêmes libellés traduits [Mantis #19750]</w:t>
      </w:r>
    </w:p>
    <w:p>
      <w:r>
        <w:t>Les règles de badgeage (autorisation, saisie, suppression) sont désormais communes au bloc « Badgeage » de l'accueil et à l'application mobile, sans changement de comportement sur le portail. Les libellés du badgeage (BTN_BADGER_SELF, BTN_BADGER_SELF_DECLARE, NO_BADGE_TODAY, COMM_BADGE, COMM_VALIDE_BDG…) sont transmis à l'application, qui affiche les mêmes traductions que le portail</w:t>
      </w:r>
    </w:p>
    <w:p>
      <w:r>
        <w:drawing>
          <wp:inline xmlns:a="http://schemas.openxmlformats.org/drawingml/2006/main" xmlns:pic="http://schemas.openxmlformats.org/drawingml/2006/picture">
            <wp:extent cx="1323975" cy="2876222"/>
            <wp:docPr id="1669210189" name="Picture 1669210189" descr="EM02F - illustration 1"/>
            <wp:cNvGraphicFramePr>
              <a:graphicFrameLocks noChangeAspect="1"/>
            </wp:cNvGraphicFramePr>
            <a:graphic>
              <a:graphicData uri="http://schemas.openxmlformats.org/drawingml/2006/picture">
                <pic:pic>
                  <pic:nvPicPr>
                    <pic:cNvPr id="0" name="6-0_111.png"/>
                    <pic:cNvPicPr/>
                  </pic:nvPicPr>
                  <pic:blipFill>
                    <a:blip r:embed="rId128"/>
                    <a:stretch>
                      <a:fillRect/>
                    </a:stretch>
                  </pic:blipFill>
                  <pic:spPr>
                    <a:xfrm>
                      <a:off x="0" y="0"/>
                      <a:ext cx="1323975" cy="2876222"/>
                    </a:xfrm>
                    <a:prstGeom prst="rect"/>
                  </pic:spPr>
                </pic:pic>
              </a:graphicData>
            </a:graphic>
          </wp:inline>
        </w:drawing>
      </w:r>
    </w:p>
    <w:p>
      <w:pPr>
        <w:pStyle w:val="Titre2"/>
      </w:pPr>
      <w:r>
        <w:t>EM03 : Sur l'écran de connexion de l'application mobile, le client cible peut désormais être recherché en saisissant son nom, avec des suggestions sous le champ ; la liste complète reste accessible [Pas de Mantis]</w:t>
      </w:r>
    </w:p>
    <w:p>
      <w:r>
        <w:drawing>
          <wp:inline xmlns:a="http://schemas.openxmlformats.org/drawingml/2006/main" xmlns:pic="http://schemas.openxmlformats.org/drawingml/2006/picture">
            <wp:extent cx="1323975" cy="2876222"/>
            <wp:docPr id="1669210190" name="Picture 1669210190" descr="EM03 - illustration 1"/>
            <wp:cNvGraphicFramePr>
              <a:graphicFrameLocks noChangeAspect="1"/>
            </wp:cNvGraphicFramePr>
            <a:graphic>
              <a:graphicData uri="http://schemas.openxmlformats.org/drawingml/2006/picture">
                <pic:pic>
                  <pic:nvPicPr>
                    <pic:cNvPr id="0" name="6-0_112.png"/>
                    <pic:cNvPicPr/>
                  </pic:nvPicPr>
                  <pic:blipFill>
                    <a:blip r:embed="rId129"/>
                    <a:stretch>
                      <a:fillRect/>
                    </a:stretch>
                  </pic:blipFill>
                  <pic:spPr>
                    <a:xfrm>
                      <a:off x="0" y="0"/>
                      <a:ext cx="1323975" cy="2876222"/>
                    </a:xfrm>
                    <a:prstGeom prst="rect"/>
                  </pic:spPr>
                </pic:pic>
              </a:graphicData>
            </a:graphic>
          </wp:inline>
        </w:drawing>
      </w:r>
    </w:p>
    <w:p>
      <w:pPr>
        <w:pStyle w:val="Titre2"/>
      </w:pPr>
      <w:r>
        <w:t>EM04 : Un agent ayant plusieurs carrières peut désormais en changer directement depuis le menu de l'application mobile [Pas de Mantis]</w:t>
      </w:r>
    </w:p>
    <w:p>
      <w:r>
        <w:drawing>
          <wp:inline xmlns:a="http://schemas.openxmlformats.org/drawingml/2006/main" xmlns:pic="http://schemas.openxmlformats.org/drawingml/2006/picture">
            <wp:extent cx="2543175" cy="5521969"/>
            <wp:docPr id="1669210191" name="Picture 1669210191" descr="EM04 - illustration 1"/>
            <wp:cNvGraphicFramePr>
              <a:graphicFrameLocks noChangeAspect="1"/>
            </wp:cNvGraphicFramePr>
            <a:graphic>
              <a:graphicData uri="http://schemas.openxmlformats.org/drawingml/2006/picture">
                <pic:pic>
                  <pic:nvPicPr>
                    <pic:cNvPr id="0" name="6-0_113.png"/>
                    <pic:cNvPicPr/>
                  </pic:nvPicPr>
                  <pic:blipFill>
                    <a:blip r:embed="rId130"/>
                    <a:stretch>
                      <a:fillRect/>
                    </a:stretch>
                  </pic:blipFill>
                  <pic:spPr>
                    <a:xfrm>
                      <a:off x="0" y="0"/>
                      <a:ext cx="2543175" cy="5521969"/>
                    </a:xfrm>
                    <a:prstGeom prst="rect"/>
                  </pic:spPr>
                </pic:pic>
              </a:graphicData>
            </a:graphic>
          </wp:inline>
        </w:drawing>
      </w:r>
    </w:p>
    <w:p>
      <w:pPr>
        <w:pStyle w:val="Titre2"/>
      </w:pPr>
      <w:r>
        <w:t>EM05 : Dans l'application mobile, les listes affichent un aperçu des cartes pendant leur chargement, les actions bénéficient d'animations et d'un retour visuel au toucher, et les notifications de confirmation ont été redessinées pour rester lisibles en thème sombre [Pas de Mantis]</w:t>
      </w:r>
    </w:p>
    <w:p>
      <w:r>
        <w:drawing>
          <wp:inline xmlns:a="http://schemas.openxmlformats.org/drawingml/2006/main" xmlns:pic="http://schemas.openxmlformats.org/drawingml/2006/picture">
            <wp:extent cx="1323975" cy="2876222"/>
            <wp:docPr id="1669210192" name="Picture 1669210192" descr="EM05 - illustration 1"/>
            <wp:cNvGraphicFramePr>
              <a:graphicFrameLocks noChangeAspect="1"/>
            </wp:cNvGraphicFramePr>
            <a:graphic>
              <a:graphicData uri="http://schemas.openxmlformats.org/drawingml/2006/picture">
                <pic:pic>
                  <pic:nvPicPr>
                    <pic:cNvPr id="0" name="6-0_114.png"/>
                    <pic:cNvPicPr/>
                  </pic:nvPicPr>
                  <pic:blipFill>
                    <a:blip r:embed="rId131"/>
                    <a:stretch>
                      <a:fillRect/>
                    </a:stretch>
                  </pic:blipFill>
                  <pic:spPr>
                    <a:xfrm>
                      <a:off x="0" y="0"/>
                      <a:ext cx="1323975" cy="2876222"/>
                    </a:xfrm>
                    <a:prstGeom prst="rect"/>
                  </pic:spPr>
                </pic:pic>
              </a:graphicData>
            </a:graphic>
          </wp:inline>
        </w:drawing>
      </w:r>
    </w:p>
    <w:p>
      <w:pPr>
        <w:pStyle w:val="Titre2"/>
      </w:pPr>
      <w:r>
        <w:t>CM01 : Dans l'application mobile, passer un participant d'une séance FMPA en « non validé » sans choisir de motif affichait une erreur, alors que la modification était bien enregistrée : l'application reçoit désormais une confirmation normale [Pas de Mantis]</w:t>
      </w:r>
    </w:p>
    <w:p>
      <w:r>
        <w:t>Application mobile &gt; Gestion des FMPA &gt; participants d'une séquence : actions sur la carte d'un participant (« Marquer en "Valide" », « Marquer en "Echec" »…) :</w:t>
      </w:r>
    </w:p>
    <w:p>
      <w:r>
        <w:drawing>
          <wp:inline xmlns:a="http://schemas.openxmlformats.org/drawingml/2006/main" xmlns:pic="http://schemas.openxmlformats.org/drawingml/2006/picture">
            <wp:extent cx="3048000" cy="6619875"/>
            <wp:docPr id="1669210193" name="Picture 1669210193" descr="CM01 - illustration 1"/>
            <wp:cNvGraphicFramePr>
              <a:graphicFrameLocks noChangeAspect="1"/>
            </wp:cNvGraphicFramePr>
            <a:graphic>
              <a:graphicData uri="http://schemas.openxmlformats.org/drawingml/2006/picture">
                <pic:pic>
                  <pic:nvPicPr>
                    <pic:cNvPr id="0" name="6-0_115.png"/>
                    <pic:cNvPicPr/>
                  </pic:nvPicPr>
                  <pic:blipFill>
                    <a:blip r:embed="rId132"/>
                    <a:stretch>
                      <a:fillRect/>
                    </a:stretch>
                  </pic:blipFill>
                  <pic:spPr>
                    <a:xfrm>
                      <a:off x="0" y="0"/>
                      <a:ext cx="3048000" cy="6619875"/>
                    </a:xfrm>
                    <a:prstGeom prst="rect"/>
                  </pic:spPr>
                </pic:pic>
              </a:graphicData>
            </a:graphic>
          </wp:inline>
        </w:drawing>
      </w:r>
    </w:p>
    <w:sectPr w:rsidR="00E30081" w:rsidRPr="00E30081" w:rsidSect="00A4711F">
      <w:headerReference w:type="default" r:id="rId144"/>
      <w:footerReference w:type="default" r:id="rId145"/>
      <w:footerReference w:type="first" r:id="rId146"/>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806E" w14:textId="77777777" w:rsidR="00C4044F" w:rsidRDefault="00C4044F" w:rsidP="00824313">
      <w:r>
        <w:separator/>
      </w:r>
    </w:p>
  </w:endnote>
  <w:endnote w:type="continuationSeparator" w:id="0">
    <w:p w14:paraId="35D78384" w14:textId="77777777" w:rsidR="00C4044F" w:rsidRDefault="00C4044F" w:rsidP="00824313">
      <w:r>
        <w:continuationSeparator/>
      </w:r>
    </w:p>
  </w:endnote>
  <w:endnote w:type="continuationNotice" w:id="1">
    <w:p w14:paraId="6AD60C91" w14:textId="77777777" w:rsidR="00C4044F" w:rsidRDefault="00C40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359"/>
      <w:gridCol w:w="7713"/>
    </w:tblGrid>
    <w:tr w:rsidR="00EF11F6" w14:paraId="1F9E71BC" w14:textId="77777777" w:rsidTr="009A2365">
      <w:tc>
        <w:tcPr>
          <w:tcW w:w="1384" w:type="dxa"/>
        </w:tcPr>
        <w:p w14:paraId="5DDD5059" w14:textId="77777777" w:rsidR="00EF11F6" w:rsidRPr="00540522" w:rsidRDefault="00EF11F6" w:rsidP="006C7087">
          <w:pPr>
            <w:pStyle w:val="Pieddepage"/>
            <w:jc w:val="right"/>
            <w:rPr>
              <w:b/>
              <w:bCs/>
              <w:color w:val="4472C4" w:themeColor="accent1"/>
              <w:sz w:val="32"/>
              <w:szCs w:val="32"/>
            </w:rPr>
          </w:pPr>
          <w:r w:rsidRPr="00540522">
            <w:rPr>
              <w:szCs w:val="21"/>
            </w:rPr>
            <w:fldChar w:fldCharType="begin"/>
          </w:r>
          <w:r w:rsidRPr="00540522">
            <w:instrText>PAGE   \* MERGEFORMAT</w:instrText>
          </w:r>
          <w:r w:rsidRPr="00540522">
            <w:rPr>
              <w:szCs w:val="21"/>
            </w:rPr>
            <w:fldChar w:fldCharType="separate"/>
          </w:r>
          <w:r w:rsidRPr="00540522">
            <w:rPr>
              <w:b/>
              <w:bCs/>
              <w:noProof/>
              <w:color w:val="4472C4" w:themeColor="accent1"/>
              <w:sz w:val="32"/>
              <w:szCs w:val="32"/>
            </w:rPr>
            <w:t>8</w:t>
          </w:r>
          <w:r w:rsidRPr="00540522">
            <w:rPr>
              <w:b/>
              <w:bCs/>
              <w:color w:val="4472C4" w:themeColor="accent1"/>
              <w:sz w:val="32"/>
              <w:szCs w:val="32"/>
            </w:rPr>
            <w:fldChar w:fldCharType="end"/>
          </w:r>
          <w:r w:rsidRPr="00540522">
            <w:rPr>
              <w:b/>
              <w:bCs/>
              <w:color w:val="4472C4" w:themeColor="accent1"/>
              <w:sz w:val="32"/>
              <w:szCs w:val="32"/>
            </w:rPr>
            <w:t>/</w:t>
          </w:r>
          <w:r w:rsidRPr="00540522">
            <w:rPr>
              <w:b/>
              <w:bCs/>
              <w:noProof/>
              <w:color w:val="4472C4" w:themeColor="accent1"/>
              <w:sz w:val="32"/>
              <w:szCs w:val="32"/>
            </w:rPr>
            <w:fldChar w:fldCharType="begin"/>
          </w:r>
          <w:r w:rsidRPr="00540522">
            <w:rPr>
              <w:b/>
              <w:bCs/>
              <w:noProof/>
              <w:color w:val="4472C4" w:themeColor="accent1"/>
              <w:sz w:val="32"/>
              <w:szCs w:val="32"/>
            </w:rPr>
            <w:instrText xml:space="preserve"> NUMPAGES   \* MERGEFORMAT </w:instrText>
          </w:r>
          <w:r w:rsidRPr="00540522">
            <w:rPr>
              <w:b/>
              <w:bCs/>
              <w:noProof/>
              <w:color w:val="4472C4" w:themeColor="accent1"/>
              <w:sz w:val="32"/>
              <w:szCs w:val="32"/>
            </w:rPr>
            <w:fldChar w:fldCharType="separate"/>
          </w:r>
          <w:r w:rsidRPr="00540522">
            <w:rPr>
              <w:b/>
              <w:bCs/>
              <w:noProof/>
              <w:color w:val="4472C4" w:themeColor="accent1"/>
              <w:sz w:val="32"/>
              <w:szCs w:val="32"/>
            </w:rPr>
            <w:t>9</w:t>
          </w:r>
          <w:r w:rsidRPr="00540522">
            <w:rPr>
              <w:b/>
              <w:bCs/>
              <w:noProof/>
              <w:color w:val="4472C4" w:themeColor="accent1"/>
              <w:sz w:val="32"/>
              <w:szCs w:val="32"/>
            </w:rPr>
            <w:fldChar w:fldCharType="end"/>
          </w:r>
        </w:p>
      </w:tc>
      <w:tc>
        <w:tcPr>
          <w:tcW w:w="7904" w:type="dxa"/>
        </w:tcPr>
        <w:p w14:paraId="0E604E09" w14:textId="77777777" w:rsidR="00EF11F6" w:rsidRDefault="00EF11F6">
          <w:pPr>
            <w:pStyle w:val="Pieddepage"/>
          </w:pPr>
        </w:p>
      </w:tc>
    </w:tr>
  </w:tbl>
  <w:p w14:paraId="1C7DF132" w14:textId="77777777" w:rsidR="00EF11F6" w:rsidRDefault="00EF11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09E3" w14:textId="77777777" w:rsidR="00EF11F6" w:rsidRDefault="00EF11F6" w:rsidP="006C7087">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359"/>
      <w:gridCol w:w="7713"/>
    </w:tblGrid>
    <w:tr w:rsidR="00183AD7" w14:paraId="652CEF51" w14:textId="77777777" w:rsidTr="009A2365">
      <w:tc>
        <w:tcPr>
          <w:tcW w:w="1384" w:type="dxa"/>
        </w:tcPr>
        <w:p w14:paraId="04A9839D" w14:textId="77777777" w:rsidR="006C7087" w:rsidRPr="00540522" w:rsidRDefault="006C7087" w:rsidP="006C7087">
          <w:pPr>
            <w:jc w:val="right"/>
            <w:rPr>
              <w:b/>
              <w:bCs/>
              <w:color w:val="4472C4" w:themeColor="accent1"/>
              <w:sz w:val="32"/>
              <w:szCs w:val="32"/>
            </w:rPr>
          </w:pPr>
          <w:r w:rsidRPr="00540522">
            <w:rPr>
              <w:szCs w:val="21"/>
            </w:rPr>
            <w:fldChar w:fldCharType="begin"/>
          </w:r>
          <w:r w:rsidRPr="00540522">
            <w:instrText>PAGE   \* MERGEFORMAT</w:instrText>
          </w:r>
          <w:r w:rsidRPr="00540522">
            <w:rPr>
              <w:szCs w:val="21"/>
            </w:rPr>
            <w:fldChar w:fldCharType="separate"/>
          </w:r>
          <w:r w:rsidRPr="00540522">
            <w:rPr>
              <w:b/>
              <w:bCs/>
              <w:noProof/>
              <w:color w:val="4472C4" w:themeColor="accent1"/>
              <w:sz w:val="32"/>
              <w:szCs w:val="32"/>
            </w:rPr>
            <w:t>8</w:t>
          </w:r>
          <w:r w:rsidRPr="00540522">
            <w:rPr>
              <w:b/>
              <w:bCs/>
              <w:color w:val="4472C4" w:themeColor="accent1"/>
              <w:sz w:val="32"/>
              <w:szCs w:val="32"/>
            </w:rPr>
            <w:fldChar w:fldCharType="end"/>
          </w:r>
          <w:r w:rsidRPr="00540522">
            <w:rPr>
              <w:b/>
              <w:bCs/>
              <w:color w:val="4472C4" w:themeColor="accent1"/>
              <w:sz w:val="32"/>
              <w:szCs w:val="32"/>
            </w:rPr>
            <w:t>/</w:t>
          </w:r>
          <w:r w:rsidRPr="00540522">
            <w:rPr>
              <w:b/>
              <w:bCs/>
              <w:noProof/>
              <w:color w:val="4472C4" w:themeColor="accent1"/>
              <w:sz w:val="32"/>
              <w:szCs w:val="32"/>
            </w:rPr>
            <w:fldChar w:fldCharType="begin"/>
          </w:r>
          <w:r w:rsidRPr="00540522">
            <w:rPr>
              <w:b/>
              <w:bCs/>
              <w:noProof/>
              <w:color w:val="4472C4" w:themeColor="accent1"/>
              <w:sz w:val="32"/>
              <w:szCs w:val="32"/>
            </w:rPr>
            <w:instrText xml:space="preserve"> NUMPAGES   \* MERGEFORMAT </w:instrText>
          </w:r>
          <w:r w:rsidRPr="00540522">
            <w:rPr>
              <w:b/>
              <w:bCs/>
              <w:noProof/>
              <w:color w:val="4472C4" w:themeColor="accent1"/>
              <w:sz w:val="32"/>
              <w:szCs w:val="32"/>
            </w:rPr>
            <w:fldChar w:fldCharType="separate"/>
          </w:r>
          <w:r w:rsidRPr="00540522">
            <w:rPr>
              <w:b/>
              <w:bCs/>
              <w:noProof/>
              <w:color w:val="4472C4" w:themeColor="accent1"/>
              <w:sz w:val="32"/>
              <w:szCs w:val="32"/>
            </w:rPr>
            <w:t>9</w:t>
          </w:r>
          <w:r w:rsidRPr="00540522">
            <w:rPr>
              <w:b/>
              <w:bCs/>
              <w:noProof/>
              <w:color w:val="4472C4" w:themeColor="accent1"/>
              <w:sz w:val="32"/>
              <w:szCs w:val="32"/>
            </w:rPr>
            <w:fldChar w:fldCharType="end"/>
          </w:r>
        </w:p>
      </w:tc>
      <w:tc>
        <w:tcPr>
          <w:tcW w:w="7904" w:type="dxa"/>
        </w:tcPr>
        <w:p w14:paraId="762ADB53" w14:textId="77777777" w:rsidR="006C7087" w:rsidRDefault="006C7087"/>
      </w:tc>
    </w:tr>
  </w:tbl>
  <w:p w14:paraId="07E5F37C" w14:textId="77777777" w:rsidR="006C7087" w:rsidRDefault="006C70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AEE0" w14:textId="77777777" w:rsidR="006C7087" w:rsidRDefault="006C7087" w:rsidP="006C708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A993F" w14:textId="77777777" w:rsidR="00C4044F" w:rsidRDefault="00C4044F" w:rsidP="00824313">
      <w:r>
        <w:separator/>
      </w:r>
    </w:p>
  </w:footnote>
  <w:footnote w:type="continuationSeparator" w:id="0">
    <w:p w14:paraId="3EF6447C" w14:textId="77777777" w:rsidR="00C4044F" w:rsidRDefault="00C4044F" w:rsidP="00824313">
      <w:r>
        <w:continuationSeparator/>
      </w:r>
    </w:p>
  </w:footnote>
  <w:footnote w:type="continuationNotice" w:id="1">
    <w:p w14:paraId="1C4946F5" w14:textId="77777777" w:rsidR="00C4044F" w:rsidRDefault="00C404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0A3E" w14:textId="77777777" w:rsidR="00EF11F6" w:rsidRPr="006463A1" w:rsidRDefault="00EF11F6" w:rsidP="006C7087">
    <w:pPr>
      <w:pStyle w:val="En-tte"/>
      <w:jc w:val="left"/>
      <w:rPr>
        <w:rStyle w:val="Accentuationlgre"/>
        <w:sz w:val="28"/>
        <w:szCs w:val="28"/>
      </w:rPr>
    </w:pPr>
    <w:r>
      <w:rPr>
        <w:noProof/>
      </w:rPr>
      <w:drawing>
        <wp:anchor distT="0" distB="0" distL="114300" distR="114300" simplePos="0" relativeHeight="251658242" behindDoc="0" locked="0" layoutInCell="1" allowOverlap="1" wp14:anchorId="1D6C3C73" wp14:editId="5C57C2D2">
          <wp:simplePos x="0" y="0"/>
          <wp:positionH relativeFrom="margin">
            <wp:posOffset>4781550</wp:posOffset>
          </wp:positionH>
          <wp:positionV relativeFrom="paragraph">
            <wp:posOffset>-189230</wp:posOffset>
          </wp:positionV>
          <wp:extent cx="476250" cy="436880"/>
          <wp:effectExtent l="0" t="0" r="0" b="1270"/>
          <wp:wrapThrough wrapText="bothSides">
            <wp:wrapPolygon edited="0">
              <wp:start x="2592" y="0"/>
              <wp:lineTo x="0" y="10360"/>
              <wp:lineTo x="0" y="18837"/>
              <wp:lineTo x="1728" y="20721"/>
              <wp:lineTo x="11232" y="20721"/>
              <wp:lineTo x="14688" y="20721"/>
              <wp:lineTo x="20736" y="16953"/>
              <wp:lineTo x="20736" y="1884"/>
              <wp:lineTo x="9504" y="0"/>
              <wp:lineTo x="2592" y="0"/>
            </wp:wrapPolygon>
          </wp:wrapThrough>
          <wp:docPr id="1740597200" name="Image 3"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2DD9D13A" wp14:editId="183C56DE">
          <wp:simplePos x="0" y="0"/>
          <wp:positionH relativeFrom="column">
            <wp:posOffset>5513705</wp:posOffset>
          </wp:positionH>
          <wp:positionV relativeFrom="paragraph">
            <wp:posOffset>-455930</wp:posOffset>
          </wp:positionV>
          <wp:extent cx="850900" cy="850900"/>
          <wp:effectExtent l="0" t="0" r="6350" b="0"/>
          <wp:wrapThrough wrapText="bothSides">
            <wp:wrapPolygon edited="0">
              <wp:start x="10155" y="4836"/>
              <wp:lineTo x="0" y="6287"/>
              <wp:lineTo x="0" y="16442"/>
              <wp:lineTo x="21278" y="16442"/>
              <wp:lineTo x="21278" y="12090"/>
              <wp:lineTo x="13057" y="4836"/>
              <wp:lineTo x="10155" y="4836"/>
            </wp:wrapPolygon>
          </wp:wrapThrough>
          <wp:docPr id="519285632" name="Image 2"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5A278BB">
      <w:rPr>
        <w:rStyle w:val="Accentuationlgre"/>
        <w:sz w:val="28"/>
        <w:szCs w:val="28"/>
      </w:rPr>
      <w:t>Nouveautés GEEF / Virtualia 6.0</w:t>
    </w:r>
    <w:r>
      <w:rPr>
        <w:rStyle w:val="Accentuationlgre"/>
        <w:sz w:val="28"/>
        <w:szCs w:val="28"/>
      </w:rPr>
    </w:r>
    <w:r w:rsidRPr="00496EE3">
      <w:rPr>
        <w:rStyle w:val="Accentuationlgre"/>
        <w:sz w:val="28"/>
        <w:szCs w:val="28"/>
      </w:rPr>
    </w:r>
    <w:r>
      <w:rPr>
        <w:rStyle w:val="Accentuationlgre"/>
        <w:sz w:val="28"/>
        <w:szCs w:val="28"/>
      </w:rP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F8F3" w14:textId="505186FD" w:rsidR="00133F47" w:rsidRPr="006463A1" w:rsidRDefault="00517E19" w:rsidP="006C7087">
    <w:pPr>
      <w:jc w:val="left"/>
      <w:rPr>
        <w:rStyle w:val="Accentuationlgre"/>
        <w:sz w:val="28"/>
        <w:szCs w:val="28"/>
      </w:rPr>
    </w:pPr>
    <w:r>
      <w:rPr>
        <w:noProof/>
      </w:rPr>
      <w:drawing>
        <wp:anchor distT="0" distB="0" distL="114300" distR="114300" simplePos="0" relativeHeight="251658240" behindDoc="0" locked="0" layoutInCell="1" allowOverlap="1" wp14:anchorId="3F8A19A4" wp14:editId="30068A10">
          <wp:simplePos x="0" y="0"/>
          <wp:positionH relativeFrom="margin">
            <wp:posOffset>4781550</wp:posOffset>
          </wp:positionH>
          <wp:positionV relativeFrom="paragraph">
            <wp:posOffset>-189230</wp:posOffset>
          </wp:positionV>
          <wp:extent cx="476250" cy="436880"/>
          <wp:effectExtent l="0" t="0" r="0" b="1270"/>
          <wp:wrapThrough wrapText="bothSides">
            <wp:wrapPolygon edited="0">
              <wp:start x="2592" y="0"/>
              <wp:lineTo x="0" y="10360"/>
              <wp:lineTo x="0" y="18837"/>
              <wp:lineTo x="1728" y="20721"/>
              <wp:lineTo x="11232" y="20721"/>
              <wp:lineTo x="14688" y="20721"/>
              <wp:lineTo x="20736" y="16953"/>
              <wp:lineTo x="20736" y="1884"/>
              <wp:lineTo x="9504" y="0"/>
              <wp:lineTo x="2592" y="0"/>
            </wp:wrapPolygon>
          </wp:wrapThrough>
          <wp:docPr id="1655253836" name="Image 3" descr="Une image contenant Graphique, Police, graphisme, logo&#10;&#10;Le contenu généré par l’IA peut être incorrect.">
            <a:extLst xmlns:a="http://schemas.openxmlformats.org/drawingml/2006/main">
              <a:ext uri="{FF2B5EF4-FFF2-40B4-BE49-F238E27FC236}">
                <a16:creationId xmlns:a16="http://schemas.microsoft.com/office/drawing/2014/main" id="{45F3BFB9-C758-4696-AC75-6E93F5AC1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5EB475B" wp14:editId="2E1D22BC">
          <wp:simplePos x="0" y="0"/>
          <wp:positionH relativeFrom="column">
            <wp:posOffset>5513705</wp:posOffset>
          </wp:positionH>
          <wp:positionV relativeFrom="paragraph">
            <wp:posOffset>-455930</wp:posOffset>
          </wp:positionV>
          <wp:extent cx="850900" cy="850900"/>
          <wp:effectExtent l="0" t="0" r="6350" b="0"/>
          <wp:wrapThrough wrapText="bothSides">
            <wp:wrapPolygon edited="0">
              <wp:start x="10155" y="4836"/>
              <wp:lineTo x="0" y="6287"/>
              <wp:lineTo x="0" y="16442"/>
              <wp:lineTo x="21278" y="16442"/>
              <wp:lineTo x="21278" y="12090"/>
              <wp:lineTo x="13057" y="4836"/>
              <wp:lineTo x="10155" y="4836"/>
            </wp:wrapPolygon>
          </wp:wrapThrough>
          <wp:docPr id="1947637108" name="Image 2" descr="Une image contenant Graphique, Police, graphisme, logo&#10;&#10;Le contenu généré par l’IA peut être incorrect.">
            <a:extLst xmlns:a="http://schemas.openxmlformats.org/drawingml/2006/main">
              <a:ext uri="{FF2B5EF4-FFF2-40B4-BE49-F238E27FC236}">
                <a16:creationId xmlns:a16="http://schemas.microsoft.com/office/drawing/2014/main" id="{2A587991-BD6A-46F0-8953-E8625DC13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9739F6" w:rsidRPr="35A278BB">
      <w:rPr>
        <w:rStyle w:val="Accentuationlgre"/>
        <w:sz w:val="28"/>
        <w:szCs w:val="28"/>
      </w:rPr>
      <w:t>Nouveautés GEEF / Virtualia 6.0</w:t>
    </w:r>
    <w:r w:rsidR="00496EE3">
      <w:rPr>
        <w:rStyle w:val="Accentuationlgre"/>
        <w:sz w:val="28"/>
        <w:szCs w:val="28"/>
      </w:rPr>
    </w:r>
    <w:r w:rsidR="00496EE3" w:rsidRPr="00496EE3">
      <w:rPr>
        <w:rStyle w:val="Accentuationlgre"/>
        <w:sz w:val="28"/>
        <w:szCs w:val="28"/>
      </w:rPr>
    </w:r>
    <w:r w:rsidR="00B56984">
      <w:rPr>
        <w:rStyle w:val="Accentuationlgre"/>
        <w:sz w:val="28"/>
        <w:szCs w:val="28"/>
      </w:rPr>
    </w:r>
    <w:r w:rsidR="00234BAE">
      <w:rPr>
        <w:rStyle w:val="Accentuationlgre"/>
        <w:sz w:val="28"/>
        <w:szCs w:val="28"/>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5D0"/>
    <w:multiLevelType w:val="hybridMultilevel"/>
    <w:tmpl w:val="4BF6A9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2F5AF5"/>
    <w:multiLevelType w:val="hybridMultilevel"/>
    <w:tmpl w:val="5B08CDA6"/>
    <w:lvl w:ilvl="0" w:tplc="E2545A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2F43188"/>
    <w:multiLevelType w:val="hybridMultilevel"/>
    <w:tmpl w:val="76AACFDA"/>
    <w:lvl w:ilvl="0" w:tplc="AE3A8FC2">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421C2D"/>
    <w:multiLevelType w:val="hybridMultilevel"/>
    <w:tmpl w:val="DBB8AB06"/>
    <w:lvl w:ilvl="0" w:tplc="93803E9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421DA0"/>
    <w:multiLevelType w:val="hybridMultilevel"/>
    <w:tmpl w:val="25CA1AD6"/>
    <w:lvl w:ilvl="0" w:tplc="E48694F0">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F36548E"/>
    <w:multiLevelType w:val="hybridMultilevel"/>
    <w:tmpl w:val="9DCC4CAA"/>
    <w:lvl w:ilvl="0" w:tplc="50DA3EB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2978503">
    <w:abstractNumId w:val="5"/>
  </w:num>
  <w:num w:numId="2" w16cid:durableId="1372264414">
    <w:abstractNumId w:val="2"/>
  </w:num>
  <w:num w:numId="3" w16cid:durableId="140385834">
    <w:abstractNumId w:val="4"/>
  </w:num>
  <w:num w:numId="4" w16cid:durableId="1431583136">
    <w:abstractNumId w:val="1"/>
  </w:num>
  <w:num w:numId="5" w16cid:durableId="1232692440">
    <w:abstractNumId w:val="0"/>
  </w:num>
  <w:num w:numId="6" w16cid:durableId="175512502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FD"/>
    <w:rsid w:val="00000313"/>
    <w:rsid w:val="0000031B"/>
    <w:rsid w:val="000003D6"/>
    <w:rsid w:val="0000044C"/>
    <w:rsid w:val="00000462"/>
    <w:rsid w:val="00000471"/>
    <w:rsid w:val="00000489"/>
    <w:rsid w:val="00000539"/>
    <w:rsid w:val="00000670"/>
    <w:rsid w:val="00000672"/>
    <w:rsid w:val="00000A90"/>
    <w:rsid w:val="00000AA0"/>
    <w:rsid w:val="00000B94"/>
    <w:rsid w:val="00000EEB"/>
    <w:rsid w:val="00000FC0"/>
    <w:rsid w:val="00000FF0"/>
    <w:rsid w:val="00000FFB"/>
    <w:rsid w:val="0000127C"/>
    <w:rsid w:val="00001487"/>
    <w:rsid w:val="000014D9"/>
    <w:rsid w:val="0000167B"/>
    <w:rsid w:val="00001709"/>
    <w:rsid w:val="0000178C"/>
    <w:rsid w:val="0000180B"/>
    <w:rsid w:val="0000181A"/>
    <w:rsid w:val="00001893"/>
    <w:rsid w:val="00002195"/>
    <w:rsid w:val="000023B0"/>
    <w:rsid w:val="000023E1"/>
    <w:rsid w:val="0000242E"/>
    <w:rsid w:val="00002579"/>
    <w:rsid w:val="000025AB"/>
    <w:rsid w:val="00002724"/>
    <w:rsid w:val="000027BE"/>
    <w:rsid w:val="0000280C"/>
    <w:rsid w:val="00002908"/>
    <w:rsid w:val="00002ADA"/>
    <w:rsid w:val="00002AF1"/>
    <w:rsid w:val="00002D40"/>
    <w:rsid w:val="00002ECE"/>
    <w:rsid w:val="00002F42"/>
    <w:rsid w:val="00003042"/>
    <w:rsid w:val="00003157"/>
    <w:rsid w:val="00003202"/>
    <w:rsid w:val="00003286"/>
    <w:rsid w:val="00003657"/>
    <w:rsid w:val="000037BE"/>
    <w:rsid w:val="000037E0"/>
    <w:rsid w:val="00003844"/>
    <w:rsid w:val="000038E3"/>
    <w:rsid w:val="00003968"/>
    <w:rsid w:val="000039A2"/>
    <w:rsid w:val="00003B1B"/>
    <w:rsid w:val="00003B7B"/>
    <w:rsid w:val="00003D74"/>
    <w:rsid w:val="00003E08"/>
    <w:rsid w:val="00003E09"/>
    <w:rsid w:val="00003F67"/>
    <w:rsid w:val="00004118"/>
    <w:rsid w:val="00004189"/>
    <w:rsid w:val="000042A8"/>
    <w:rsid w:val="0000431A"/>
    <w:rsid w:val="00004350"/>
    <w:rsid w:val="000043B2"/>
    <w:rsid w:val="000044A1"/>
    <w:rsid w:val="00004841"/>
    <w:rsid w:val="00004889"/>
    <w:rsid w:val="00004930"/>
    <w:rsid w:val="000049B7"/>
    <w:rsid w:val="00004BA1"/>
    <w:rsid w:val="00004DF6"/>
    <w:rsid w:val="00005072"/>
    <w:rsid w:val="000053CE"/>
    <w:rsid w:val="000053EC"/>
    <w:rsid w:val="00005444"/>
    <w:rsid w:val="000055DC"/>
    <w:rsid w:val="000055F8"/>
    <w:rsid w:val="00005A5E"/>
    <w:rsid w:val="00005B5B"/>
    <w:rsid w:val="00005CB1"/>
    <w:rsid w:val="00005D77"/>
    <w:rsid w:val="00005DEF"/>
    <w:rsid w:val="00006071"/>
    <w:rsid w:val="00006124"/>
    <w:rsid w:val="000061D7"/>
    <w:rsid w:val="000062F3"/>
    <w:rsid w:val="000063B0"/>
    <w:rsid w:val="000064C9"/>
    <w:rsid w:val="00006564"/>
    <w:rsid w:val="000065D6"/>
    <w:rsid w:val="000067C6"/>
    <w:rsid w:val="00006CC8"/>
    <w:rsid w:val="00006DB2"/>
    <w:rsid w:val="0000711D"/>
    <w:rsid w:val="000071CA"/>
    <w:rsid w:val="00007487"/>
    <w:rsid w:val="00007712"/>
    <w:rsid w:val="00007794"/>
    <w:rsid w:val="000077C1"/>
    <w:rsid w:val="00007898"/>
    <w:rsid w:val="00007945"/>
    <w:rsid w:val="000079C9"/>
    <w:rsid w:val="00007A9F"/>
    <w:rsid w:val="00007B69"/>
    <w:rsid w:val="00007BAF"/>
    <w:rsid w:val="00007BC0"/>
    <w:rsid w:val="00007BC1"/>
    <w:rsid w:val="00007CA3"/>
    <w:rsid w:val="00007CCE"/>
    <w:rsid w:val="00007DB6"/>
    <w:rsid w:val="00007EBC"/>
    <w:rsid w:val="000102F9"/>
    <w:rsid w:val="00010495"/>
    <w:rsid w:val="000104D3"/>
    <w:rsid w:val="0001092C"/>
    <w:rsid w:val="00010ADB"/>
    <w:rsid w:val="00010C43"/>
    <w:rsid w:val="00010CC6"/>
    <w:rsid w:val="00010CF6"/>
    <w:rsid w:val="00010F89"/>
    <w:rsid w:val="0001118B"/>
    <w:rsid w:val="000113DB"/>
    <w:rsid w:val="00011A08"/>
    <w:rsid w:val="00011A9C"/>
    <w:rsid w:val="00011B5A"/>
    <w:rsid w:val="00011DCB"/>
    <w:rsid w:val="00011E40"/>
    <w:rsid w:val="00011F47"/>
    <w:rsid w:val="0001220A"/>
    <w:rsid w:val="00012302"/>
    <w:rsid w:val="00012679"/>
    <w:rsid w:val="0001269F"/>
    <w:rsid w:val="000126AE"/>
    <w:rsid w:val="000128EB"/>
    <w:rsid w:val="00012986"/>
    <w:rsid w:val="00012B4A"/>
    <w:rsid w:val="00012BA0"/>
    <w:rsid w:val="00012BCF"/>
    <w:rsid w:val="00012C01"/>
    <w:rsid w:val="00013001"/>
    <w:rsid w:val="000130DB"/>
    <w:rsid w:val="00013590"/>
    <w:rsid w:val="000135A4"/>
    <w:rsid w:val="00013864"/>
    <w:rsid w:val="00013AE6"/>
    <w:rsid w:val="00013BE6"/>
    <w:rsid w:val="00013E7D"/>
    <w:rsid w:val="00014323"/>
    <w:rsid w:val="0001435A"/>
    <w:rsid w:val="00014495"/>
    <w:rsid w:val="000144EF"/>
    <w:rsid w:val="0001452F"/>
    <w:rsid w:val="00014641"/>
    <w:rsid w:val="00014671"/>
    <w:rsid w:val="0001471C"/>
    <w:rsid w:val="000148DA"/>
    <w:rsid w:val="00014901"/>
    <w:rsid w:val="00014933"/>
    <w:rsid w:val="00014DB2"/>
    <w:rsid w:val="00015113"/>
    <w:rsid w:val="0001517B"/>
    <w:rsid w:val="00015186"/>
    <w:rsid w:val="00015206"/>
    <w:rsid w:val="00015257"/>
    <w:rsid w:val="0001536E"/>
    <w:rsid w:val="000153B8"/>
    <w:rsid w:val="00015421"/>
    <w:rsid w:val="00015508"/>
    <w:rsid w:val="00015543"/>
    <w:rsid w:val="000156E6"/>
    <w:rsid w:val="00015727"/>
    <w:rsid w:val="0001578F"/>
    <w:rsid w:val="00015853"/>
    <w:rsid w:val="00015910"/>
    <w:rsid w:val="00015B8D"/>
    <w:rsid w:val="00015ED5"/>
    <w:rsid w:val="0001612D"/>
    <w:rsid w:val="00016426"/>
    <w:rsid w:val="00016486"/>
    <w:rsid w:val="00016529"/>
    <w:rsid w:val="00016627"/>
    <w:rsid w:val="00016758"/>
    <w:rsid w:val="00016A0D"/>
    <w:rsid w:val="00016A5C"/>
    <w:rsid w:val="00016B59"/>
    <w:rsid w:val="00016DC1"/>
    <w:rsid w:val="00016EF1"/>
    <w:rsid w:val="00016FF3"/>
    <w:rsid w:val="00017059"/>
    <w:rsid w:val="0001722C"/>
    <w:rsid w:val="00017329"/>
    <w:rsid w:val="00017396"/>
    <w:rsid w:val="000174AB"/>
    <w:rsid w:val="000174EE"/>
    <w:rsid w:val="000176C8"/>
    <w:rsid w:val="000176EF"/>
    <w:rsid w:val="0001778F"/>
    <w:rsid w:val="00017920"/>
    <w:rsid w:val="00017971"/>
    <w:rsid w:val="0002021B"/>
    <w:rsid w:val="000202FA"/>
    <w:rsid w:val="00020462"/>
    <w:rsid w:val="0002054A"/>
    <w:rsid w:val="000208AB"/>
    <w:rsid w:val="00020ACA"/>
    <w:rsid w:val="00020C0C"/>
    <w:rsid w:val="00020CC4"/>
    <w:rsid w:val="00020DBF"/>
    <w:rsid w:val="00020F47"/>
    <w:rsid w:val="000210D3"/>
    <w:rsid w:val="00021AE4"/>
    <w:rsid w:val="00021BB8"/>
    <w:rsid w:val="00021C71"/>
    <w:rsid w:val="00021CF7"/>
    <w:rsid w:val="00021DBD"/>
    <w:rsid w:val="00021FF4"/>
    <w:rsid w:val="000220D3"/>
    <w:rsid w:val="00022290"/>
    <w:rsid w:val="00022356"/>
    <w:rsid w:val="00022393"/>
    <w:rsid w:val="00022475"/>
    <w:rsid w:val="000225F4"/>
    <w:rsid w:val="00022608"/>
    <w:rsid w:val="00022713"/>
    <w:rsid w:val="00022B06"/>
    <w:rsid w:val="00022BFA"/>
    <w:rsid w:val="00022C2F"/>
    <w:rsid w:val="00022CEC"/>
    <w:rsid w:val="00023000"/>
    <w:rsid w:val="000230B3"/>
    <w:rsid w:val="000230FF"/>
    <w:rsid w:val="000232DD"/>
    <w:rsid w:val="00023364"/>
    <w:rsid w:val="0002339D"/>
    <w:rsid w:val="0002344C"/>
    <w:rsid w:val="00023452"/>
    <w:rsid w:val="0002347B"/>
    <w:rsid w:val="000235AC"/>
    <w:rsid w:val="000237C8"/>
    <w:rsid w:val="000238B4"/>
    <w:rsid w:val="0002390E"/>
    <w:rsid w:val="000239EA"/>
    <w:rsid w:val="00023A10"/>
    <w:rsid w:val="00023A4E"/>
    <w:rsid w:val="00023BF1"/>
    <w:rsid w:val="00023D57"/>
    <w:rsid w:val="0002404C"/>
    <w:rsid w:val="0002425E"/>
    <w:rsid w:val="000243C5"/>
    <w:rsid w:val="000243CC"/>
    <w:rsid w:val="0002444F"/>
    <w:rsid w:val="0002447F"/>
    <w:rsid w:val="000246DD"/>
    <w:rsid w:val="000248AD"/>
    <w:rsid w:val="00024A4D"/>
    <w:rsid w:val="00024C8E"/>
    <w:rsid w:val="00024E2D"/>
    <w:rsid w:val="00024F4B"/>
    <w:rsid w:val="00025123"/>
    <w:rsid w:val="00025192"/>
    <w:rsid w:val="0002524D"/>
    <w:rsid w:val="0002544F"/>
    <w:rsid w:val="00025560"/>
    <w:rsid w:val="00025794"/>
    <w:rsid w:val="00025B3A"/>
    <w:rsid w:val="00025D07"/>
    <w:rsid w:val="00025F84"/>
    <w:rsid w:val="00026031"/>
    <w:rsid w:val="000262B4"/>
    <w:rsid w:val="000263DA"/>
    <w:rsid w:val="000263EE"/>
    <w:rsid w:val="000263F1"/>
    <w:rsid w:val="00026412"/>
    <w:rsid w:val="000266CF"/>
    <w:rsid w:val="0002671F"/>
    <w:rsid w:val="00026C6A"/>
    <w:rsid w:val="00026C76"/>
    <w:rsid w:val="00026DDC"/>
    <w:rsid w:val="00026FB9"/>
    <w:rsid w:val="0002777C"/>
    <w:rsid w:val="000277D4"/>
    <w:rsid w:val="00027896"/>
    <w:rsid w:val="00027939"/>
    <w:rsid w:val="00027ADC"/>
    <w:rsid w:val="00027B64"/>
    <w:rsid w:val="00027C5E"/>
    <w:rsid w:val="00027E05"/>
    <w:rsid w:val="000300A0"/>
    <w:rsid w:val="000301F9"/>
    <w:rsid w:val="000303D2"/>
    <w:rsid w:val="000304B5"/>
    <w:rsid w:val="00030540"/>
    <w:rsid w:val="0003057A"/>
    <w:rsid w:val="00030BE8"/>
    <w:rsid w:val="00030C03"/>
    <w:rsid w:val="00030DE3"/>
    <w:rsid w:val="00031094"/>
    <w:rsid w:val="000310AE"/>
    <w:rsid w:val="00031124"/>
    <w:rsid w:val="00031155"/>
    <w:rsid w:val="000313CA"/>
    <w:rsid w:val="000316DF"/>
    <w:rsid w:val="000316F0"/>
    <w:rsid w:val="00031973"/>
    <w:rsid w:val="00031A3B"/>
    <w:rsid w:val="00031B35"/>
    <w:rsid w:val="00031CA7"/>
    <w:rsid w:val="00031CF9"/>
    <w:rsid w:val="00031F05"/>
    <w:rsid w:val="00031F5B"/>
    <w:rsid w:val="00031F5D"/>
    <w:rsid w:val="00031FC5"/>
    <w:rsid w:val="00032165"/>
    <w:rsid w:val="00032307"/>
    <w:rsid w:val="00032530"/>
    <w:rsid w:val="00032952"/>
    <w:rsid w:val="000329EA"/>
    <w:rsid w:val="00032A55"/>
    <w:rsid w:val="00032FD4"/>
    <w:rsid w:val="00032FF8"/>
    <w:rsid w:val="00033102"/>
    <w:rsid w:val="000331DB"/>
    <w:rsid w:val="000332DD"/>
    <w:rsid w:val="0003386C"/>
    <w:rsid w:val="00033B9C"/>
    <w:rsid w:val="00033D2C"/>
    <w:rsid w:val="00033D7C"/>
    <w:rsid w:val="00033D97"/>
    <w:rsid w:val="00033E1E"/>
    <w:rsid w:val="00033F74"/>
    <w:rsid w:val="00034213"/>
    <w:rsid w:val="00034729"/>
    <w:rsid w:val="000348CC"/>
    <w:rsid w:val="00034B57"/>
    <w:rsid w:val="00034BB8"/>
    <w:rsid w:val="00034BF8"/>
    <w:rsid w:val="00035057"/>
    <w:rsid w:val="000350BC"/>
    <w:rsid w:val="000351B2"/>
    <w:rsid w:val="00035335"/>
    <w:rsid w:val="00035478"/>
    <w:rsid w:val="000356E2"/>
    <w:rsid w:val="00035857"/>
    <w:rsid w:val="00035921"/>
    <w:rsid w:val="00035AE2"/>
    <w:rsid w:val="00035B38"/>
    <w:rsid w:val="00035D43"/>
    <w:rsid w:val="00035E25"/>
    <w:rsid w:val="0003604C"/>
    <w:rsid w:val="00036067"/>
    <w:rsid w:val="00036208"/>
    <w:rsid w:val="00036292"/>
    <w:rsid w:val="0003630A"/>
    <w:rsid w:val="00036362"/>
    <w:rsid w:val="00036382"/>
    <w:rsid w:val="0003644F"/>
    <w:rsid w:val="00036467"/>
    <w:rsid w:val="00036584"/>
    <w:rsid w:val="00036789"/>
    <w:rsid w:val="000367CA"/>
    <w:rsid w:val="0003686C"/>
    <w:rsid w:val="000369B9"/>
    <w:rsid w:val="00036A17"/>
    <w:rsid w:val="00036E61"/>
    <w:rsid w:val="00036F90"/>
    <w:rsid w:val="000370BC"/>
    <w:rsid w:val="0003723C"/>
    <w:rsid w:val="0003725C"/>
    <w:rsid w:val="000373F8"/>
    <w:rsid w:val="00037530"/>
    <w:rsid w:val="00037642"/>
    <w:rsid w:val="00037730"/>
    <w:rsid w:val="00037AF9"/>
    <w:rsid w:val="00037B3C"/>
    <w:rsid w:val="00037C54"/>
    <w:rsid w:val="00037F9B"/>
    <w:rsid w:val="00037FF9"/>
    <w:rsid w:val="000400FD"/>
    <w:rsid w:val="0004016C"/>
    <w:rsid w:val="00040635"/>
    <w:rsid w:val="00040A14"/>
    <w:rsid w:val="00040A31"/>
    <w:rsid w:val="00040A6C"/>
    <w:rsid w:val="00040B04"/>
    <w:rsid w:val="00040ED8"/>
    <w:rsid w:val="00040F1C"/>
    <w:rsid w:val="00040F59"/>
    <w:rsid w:val="00040F97"/>
    <w:rsid w:val="000410DD"/>
    <w:rsid w:val="00041254"/>
    <w:rsid w:val="00041260"/>
    <w:rsid w:val="000414CD"/>
    <w:rsid w:val="000416CB"/>
    <w:rsid w:val="00041720"/>
    <w:rsid w:val="000417BA"/>
    <w:rsid w:val="00041A80"/>
    <w:rsid w:val="00041AE1"/>
    <w:rsid w:val="00041DEA"/>
    <w:rsid w:val="00041ED1"/>
    <w:rsid w:val="00041F49"/>
    <w:rsid w:val="00041F86"/>
    <w:rsid w:val="000421FE"/>
    <w:rsid w:val="0004220D"/>
    <w:rsid w:val="0004222B"/>
    <w:rsid w:val="00042239"/>
    <w:rsid w:val="000422B3"/>
    <w:rsid w:val="00042355"/>
    <w:rsid w:val="00042377"/>
    <w:rsid w:val="000423C3"/>
    <w:rsid w:val="000423E5"/>
    <w:rsid w:val="000426DA"/>
    <w:rsid w:val="00042731"/>
    <w:rsid w:val="00042760"/>
    <w:rsid w:val="00042845"/>
    <w:rsid w:val="00042851"/>
    <w:rsid w:val="0004296E"/>
    <w:rsid w:val="00042A26"/>
    <w:rsid w:val="00042B6F"/>
    <w:rsid w:val="00042B8E"/>
    <w:rsid w:val="00042D0D"/>
    <w:rsid w:val="00042D25"/>
    <w:rsid w:val="00042F78"/>
    <w:rsid w:val="00042FA2"/>
    <w:rsid w:val="00043024"/>
    <w:rsid w:val="00043029"/>
    <w:rsid w:val="00043293"/>
    <w:rsid w:val="000432F7"/>
    <w:rsid w:val="0004333E"/>
    <w:rsid w:val="00043499"/>
    <w:rsid w:val="00043606"/>
    <w:rsid w:val="0004374E"/>
    <w:rsid w:val="00043780"/>
    <w:rsid w:val="000437A6"/>
    <w:rsid w:val="00043895"/>
    <w:rsid w:val="000439A0"/>
    <w:rsid w:val="00043A28"/>
    <w:rsid w:val="00043A8A"/>
    <w:rsid w:val="00043CF4"/>
    <w:rsid w:val="00043D90"/>
    <w:rsid w:val="00043FE6"/>
    <w:rsid w:val="0004410F"/>
    <w:rsid w:val="000441A5"/>
    <w:rsid w:val="000441B8"/>
    <w:rsid w:val="000441C1"/>
    <w:rsid w:val="000441CA"/>
    <w:rsid w:val="00044244"/>
    <w:rsid w:val="00044383"/>
    <w:rsid w:val="000443F7"/>
    <w:rsid w:val="000444BB"/>
    <w:rsid w:val="000448C8"/>
    <w:rsid w:val="000448DD"/>
    <w:rsid w:val="00044BB0"/>
    <w:rsid w:val="00045012"/>
    <w:rsid w:val="000450CB"/>
    <w:rsid w:val="00045273"/>
    <w:rsid w:val="000452AE"/>
    <w:rsid w:val="00045681"/>
    <w:rsid w:val="00045789"/>
    <w:rsid w:val="00045977"/>
    <w:rsid w:val="000459CA"/>
    <w:rsid w:val="00045C15"/>
    <w:rsid w:val="00045DFC"/>
    <w:rsid w:val="00045EFE"/>
    <w:rsid w:val="00046099"/>
    <w:rsid w:val="00046284"/>
    <w:rsid w:val="000463A6"/>
    <w:rsid w:val="0004651B"/>
    <w:rsid w:val="000465B2"/>
    <w:rsid w:val="00046744"/>
    <w:rsid w:val="00046754"/>
    <w:rsid w:val="000469D3"/>
    <w:rsid w:val="000469E4"/>
    <w:rsid w:val="00046A47"/>
    <w:rsid w:val="00046B4F"/>
    <w:rsid w:val="00046FA9"/>
    <w:rsid w:val="0004708A"/>
    <w:rsid w:val="000470CD"/>
    <w:rsid w:val="000472EE"/>
    <w:rsid w:val="00047301"/>
    <w:rsid w:val="00047466"/>
    <w:rsid w:val="0004780C"/>
    <w:rsid w:val="000478FE"/>
    <w:rsid w:val="00047AD2"/>
    <w:rsid w:val="00047C58"/>
    <w:rsid w:val="00047F00"/>
    <w:rsid w:val="00050048"/>
    <w:rsid w:val="0005010C"/>
    <w:rsid w:val="000503E5"/>
    <w:rsid w:val="000504E9"/>
    <w:rsid w:val="000505CB"/>
    <w:rsid w:val="0005070C"/>
    <w:rsid w:val="0005073E"/>
    <w:rsid w:val="0005083E"/>
    <w:rsid w:val="000509D6"/>
    <w:rsid w:val="00050A61"/>
    <w:rsid w:val="00050C3B"/>
    <w:rsid w:val="00050EE8"/>
    <w:rsid w:val="00051031"/>
    <w:rsid w:val="000511DB"/>
    <w:rsid w:val="00051259"/>
    <w:rsid w:val="00051787"/>
    <w:rsid w:val="000517C1"/>
    <w:rsid w:val="00051A44"/>
    <w:rsid w:val="000521A5"/>
    <w:rsid w:val="00052267"/>
    <w:rsid w:val="000522E0"/>
    <w:rsid w:val="00052387"/>
    <w:rsid w:val="000523FD"/>
    <w:rsid w:val="0005248B"/>
    <w:rsid w:val="00052623"/>
    <w:rsid w:val="0005271E"/>
    <w:rsid w:val="000527B8"/>
    <w:rsid w:val="00052824"/>
    <w:rsid w:val="000528A8"/>
    <w:rsid w:val="00052A43"/>
    <w:rsid w:val="00052A52"/>
    <w:rsid w:val="000530F2"/>
    <w:rsid w:val="000531C6"/>
    <w:rsid w:val="000531DA"/>
    <w:rsid w:val="000533BC"/>
    <w:rsid w:val="000533E5"/>
    <w:rsid w:val="00053438"/>
    <w:rsid w:val="000536D4"/>
    <w:rsid w:val="00053B6A"/>
    <w:rsid w:val="00053B8B"/>
    <w:rsid w:val="00053BF9"/>
    <w:rsid w:val="00053C60"/>
    <w:rsid w:val="00053D18"/>
    <w:rsid w:val="00054327"/>
    <w:rsid w:val="00054401"/>
    <w:rsid w:val="000544C0"/>
    <w:rsid w:val="0005470B"/>
    <w:rsid w:val="00054745"/>
    <w:rsid w:val="0005504D"/>
    <w:rsid w:val="000551E7"/>
    <w:rsid w:val="000552F6"/>
    <w:rsid w:val="000552F8"/>
    <w:rsid w:val="00055804"/>
    <w:rsid w:val="0005591B"/>
    <w:rsid w:val="00055978"/>
    <w:rsid w:val="00055C0D"/>
    <w:rsid w:val="00055C44"/>
    <w:rsid w:val="00055DCD"/>
    <w:rsid w:val="0005611E"/>
    <w:rsid w:val="0005612E"/>
    <w:rsid w:val="0005619D"/>
    <w:rsid w:val="000562E7"/>
    <w:rsid w:val="00056750"/>
    <w:rsid w:val="0005680F"/>
    <w:rsid w:val="00056839"/>
    <w:rsid w:val="000568F9"/>
    <w:rsid w:val="0005695C"/>
    <w:rsid w:val="0005699D"/>
    <w:rsid w:val="00056BE1"/>
    <w:rsid w:val="00056C6D"/>
    <w:rsid w:val="00056CCD"/>
    <w:rsid w:val="00056DB8"/>
    <w:rsid w:val="00056FCA"/>
    <w:rsid w:val="00057063"/>
    <w:rsid w:val="00057114"/>
    <w:rsid w:val="000571A3"/>
    <w:rsid w:val="00057204"/>
    <w:rsid w:val="000572A9"/>
    <w:rsid w:val="000575EB"/>
    <w:rsid w:val="00057642"/>
    <w:rsid w:val="00057693"/>
    <w:rsid w:val="00057749"/>
    <w:rsid w:val="000578E0"/>
    <w:rsid w:val="00057914"/>
    <w:rsid w:val="00057CB1"/>
    <w:rsid w:val="00057E8C"/>
    <w:rsid w:val="00057EA4"/>
    <w:rsid w:val="00057EF4"/>
    <w:rsid w:val="0006003C"/>
    <w:rsid w:val="00060067"/>
    <w:rsid w:val="0006007D"/>
    <w:rsid w:val="0006019E"/>
    <w:rsid w:val="0006020A"/>
    <w:rsid w:val="00060243"/>
    <w:rsid w:val="000602D0"/>
    <w:rsid w:val="000605A3"/>
    <w:rsid w:val="00060860"/>
    <w:rsid w:val="0006090B"/>
    <w:rsid w:val="00060B14"/>
    <w:rsid w:val="00060BB7"/>
    <w:rsid w:val="00060C0F"/>
    <w:rsid w:val="00060C1E"/>
    <w:rsid w:val="00060F1E"/>
    <w:rsid w:val="00061087"/>
    <w:rsid w:val="00061105"/>
    <w:rsid w:val="00061190"/>
    <w:rsid w:val="00061294"/>
    <w:rsid w:val="0006133F"/>
    <w:rsid w:val="00061450"/>
    <w:rsid w:val="0006145B"/>
    <w:rsid w:val="000614E1"/>
    <w:rsid w:val="00061502"/>
    <w:rsid w:val="00061548"/>
    <w:rsid w:val="000615CD"/>
    <w:rsid w:val="0006176F"/>
    <w:rsid w:val="000617F6"/>
    <w:rsid w:val="00061838"/>
    <w:rsid w:val="00061986"/>
    <w:rsid w:val="00061B38"/>
    <w:rsid w:val="00061BFB"/>
    <w:rsid w:val="00061C76"/>
    <w:rsid w:val="00061E91"/>
    <w:rsid w:val="00061F03"/>
    <w:rsid w:val="000621A7"/>
    <w:rsid w:val="000623C2"/>
    <w:rsid w:val="00062450"/>
    <w:rsid w:val="00062613"/>
    <w:rsid w:val="00062688"/>
    <w:rsid w:val="0006285E"/>
    <w:rsid w:val="000628C7"/>
    <w:rsid w:val="0006290A"/>
    <w:rsid w:val="00062A0E"/>
    <w:rsid w:val="00062AF4"/>
    <w:rsid w:val="00062B56"/>
    <w:rsid w:val="00062B6D"/>
    <w:rsid w:val="00062C03"/>
    <w:rsid w:val="00062C44"/>
    <w:rsid w:val="00062CBA"/>
    <w:rsid w:val="00062D72"/>
    <w:rsid w:val="00062E97"/>
    <w:rsid w:val="00062FA0"/>
    <w:rsid w:val="00063183"/>
    <w:rsid w:val="00063267"/>
    <w:rsid w:val="00063325"/>
    <w:rsid w:val="000638CC"/>
    <w:rsid w:val="00063AE1"/>
    <w:rsid w:val="00063B22"/>
    <w:rsid w:val="00063C1F"/>
    <w:rsid w:val="00063CA0"/>
    <w:rsid w:val="00063CA2"/>
    <w:rsid w:val="00063D7A"/>
    <w:rsid w:val="00064558"/>
    <w:rsid w:val="00064822"/>
    <w:rsid w:val="000649B1"/>
    <w:rsid w:val="00064B18"/>
    <w:rsid w:val="00064BFC"/>
    <w:rsid w:val="00064E01"/>
    <w:rsid w:val="00064E21"/>
    <w:rsid w:val="00064FF7"/>
    <w:rsid w:val="00065228"/>
    <w:rsid w:val="00065314"/>
    <w:rsid w:val="00065317"/>
    <w:rsid w:val="00065395"/>
    <w:rsid w:val="0006545C"/>
    <w:rsid w:val="000655C8"/>
    <w:rsid w:val="000656B3"/>
    <w:rsid w:val="00065757"/>
    <w:rsid w:val="00065967"/>
    <w:rsid w:val="00065BE5"/>
    <w:rsid w:val="00065C90"/>
    <w:rsid w:val="00065D23"/>
    <w:rsid w:val="00065E8A"/>
    <w:rsid w:val="00065F2F"/>
    <w:rsid w:val="00065F5E"/>
    <w:rsid w:val="00066018"/>
    <w:rsid w:val="00066228"/>
    <w:rsid w:val="000662AE"/>
    <w:rsid w:val="00066357"/>
    <w:rsid w:val="000663B9"/>
    <w:rsid w:val="00066417"/>
    <w:rsid w:val="0006682B"/>
    <w:rsid w:val="00066A49"/>
    <w:rsid w:val="00066A83"/>
    <w:rsid w:val="00066BB2"/>
    <w:rsid w:val="00066F45"/>
    <w:rsid w:val="00066F57"/>
    <w:rsid w:val="00066F9D"/>
    <w:rsid w:val="0006706A"/>
    <w:rsid w:val="0006706D"/>
    <w:rsid w:val="0006711F"/>
    <w:rsid w:val="0006730C"/>
    <w:rsid w:val="0006734B"/>
    <w:rsid w:val="000676BA"/>
    <w:rsid w:val="00067771"/>
    <w:rsid w:val="0006779C"/>
    <w:rsid w:val="00067926"/>
    <w:rsid w:val="0006794A"/>
    <w:rsid w:val="00067AEA"/>
    <w:rsid w:val="00067B47"/>
    <w:rsid w:val="00067C8E"/>
    <w:rsid w:val="00067D82"/>
    <w:rsid w:val="00067DF8"/>
    <w:rsid w:val="00067F66"/>
    <w:rsid w:val="00070258"/>
    <w:rsid w:val="000702AD"/>
    <w:rsid w:val="0007039C"/>
    <w:rsid w:val="000707F2"/>
    <w:rsid w:val="000709A3"/>
    <w:rsid w:val="00070C0F"/>
    <w:rsid w:val="00070C6D"/>
    <w:rsid w:val="00070DDA"/>
    <w:rsid w:val="00070E37"/>
    <w:rsid w:val="00070F1A"/>
    <w:rsid w:val="00070F75"/>
    <w:rsid w:val="00070FE0"/>
    <w:rsid w:val="00071111"/>
    <w:rsid w:val="000715C6"/>
    <w:rsid w:val="0007186B"/>
    <w:rsid w:val="000718F4"/>
    <w:rsid w:val="00071A1B"/>
    <w:rsid w:val="00071A30"/>
    <w:rsid w:val="00071CE8"/>
    <w:rsid w:val="00071E02"/>
    <w:rsid w:val="00071EAE"/>
    <w:rsid w:val="00072002"/>
    <w:rsid w:val="0007215A"/>
    <w:rsid w:val="000722B2"/>
    <w:rsid w:val="00072389"/>
    <w:rsid w:val="0007238C"/>
    <w:rsid w:val="00072579"/>
    <w:rsid w:val="0007285F"/>
    <w:rsid w:val="00072870"/>
    <w:rsid w:val="00072948"/>
    <w:rsid w:val="00072A7F"/>
    <w:rsid w:val="00072AE5"/>
    <w:rsid w:val="00072BFE"/>
    <w:rsid w:val="00072E6D"/>
    <w:rsid w:val="00072EAF"/>
    <w:rsid w:val="00072EC6"/>
    <w:rsid w:val="00072FB6"/>
    <w:rsid w:val="00073306"/>
    <w:rsid w:val="00073744"/>
    <w:rsid w:val="0007376E"/>
    <w:rsid w:val="00073901"/>
    <w:rsid w:val="00073BC0"/>
    <w:rsid w:val="00073E2A"/>
    <w:rsid w:val="00073EFC"/>
    <w:rsid w:val="00073FC9"/>
    <w:rsid w:val="00074044"/>
    <w:rsid w:val="0007410D"/>
    <w:rsid w:val="00074182"/>
    <w:rsid w:val="00074385"/>
    <w:rsid w:val="000743A5"/>
    <w:rsid w:val="000744BF"/>
    <w:rsid w:val="00074614"/>
    <w:rsid w:val="000747CA"/>
    <w:rsid w:val="000749C8"/>
    <w:rsid w:val="00074C87"/>
    <w:rsid w:val="00074F0E"/>
    <w:rsid w:val="0007504F"/>
    <w:rsid w:val="00075292"/>
    <w:rsid w:val="00075418"/>
    <w:rsid w:val="000756FF"/>
    <w:rsid w:val="00075739"/>
    <w:rsid w:val="000757B7"/>
    <w:rsid w:val="00075948"/>
    <w:rsid w:val="00075995"/>
    <w:rsid w:val="000759D6"/>
    <w:rsid w:val="00075BAE"/>
    <w:rsid w:val="00075DC0"/>
    <w:rsid w:val="00075E7D"/>
    <w:rsid w:val="00075EA5"/>
    <w:rsid w:val="00076063"/>
    <w:rsid w:val="0007644E"/>
    <w:rsid w:val="0007649D"/>
    <w:rsid w:val="0007684E"/>
    <w:rsid w:val="000769B3"/>
    <w:rsid w:val="00076F9C"/>
    <w:rsid w:val="0007715E"/>
    <w:rsid w:val="00077279"/>
    <w:rsid w:val="00077286"/>
    <w:rsid w:val="000772B6"/>
    <w:rsid w:val="000772DC"/>
    <w:rsid w:val="00077400"/>
    <w:rsid w:val="0007743C"/>
    <w:rsid w:val="000775E3"/>
    <w:rsid w:val="00077787"/>
    <w:rsid w:val="00077859"/>
    <w:rsid w:val="000779CD"/>
    <w:rsid w:val="00077AD1"/>
    <w:rsid w:val="00077C5C"/>
    <w:rsid w:val="00077CB8"/>
    <w:rsid w:val="00077CE4"/>
    <w:rsid w:val="00077D91"/>
    <w:rsid w:val="00080041"/>
    <w:rsid w:val="00080508"/>
    <w:rsid w:val="000806C8"/>
    <w:rsid w:val="000808E6"/>
    <w:rsid w:val="00080900"/>
    <w:rsid w:val="000809AB"/>
    <w:rsid w:val="000809F3"/>
    <w:rsid w:val="00080A3A"/>
    <w:rsid w:val="00080C0B"/>
    <w:rsid w:val="00080C18"/>
    <w:rsid w:val="00080CD1"/>
    <w:rsid w:val="00080D50"/>
    <w:rsid w:val="00080DBE"/>
    <w:rsid w:val="00080DD3"/>
    <w:rsid w:val="00080ECC"/>
    <w:rsid w:val="00080F4B"/>
    <w:rsid w:val="00081327"/>
    <w:rsid w:val="000814B9"/>
    <w:rsid w:val="000815D3"/>
    <w:rsid w:val="000815DA"/>
    <w:rsid w:val="000816F5"/>
    <w:rsid w:val="00081730"/>
    <w:rsid w:val="0008181D"/>
    <w:rsid w:val="0008191A"/>
    <w:rsid w:val="00081A11"/>
    <w:rsid w:val="00081A84"/>
    <w:rsid w:val="00081A90"/>
    <w:rsid w:val="00081D16"/>
    <w:rsid w:val="00081DA4"/>
    <w:rsid w:val="00081EC2"/>
    <w:rsid w:val="00082125"/>
    <w:rsid w:val="00082559"/>
    <w:rsid w:val="0008291E"/>
    <w:rsid w:val="00082925"/>
    <w:rsid w:val="000829F3"/>
    <w:rsid w:val="00082A7D"/>
    <w:rsid w:val="00082ADE"/>
    <w:rsid w:val="00082B30"/>
    <w:rsid w:val="00082D28"/>
    <w:rsid w:val="00082D3D"/>
    <w:rsid w:val="00082FE2"/>
    <w:rsid w:val="00083011"/>
    <w:rsid w:val="000831CF"/>
    <w:rsid w:val="00083276"/>
    <w:rsid w:val="00083496"/>
    <w:rsid w:val="000835F5"/>
    <w:rsid w:val="00083693"/>
    <w:rsid w:val="00083A33"/>
    <w:rsid w:val="00083A4F"/>
    <w:rsid w:val="00083B52"/>
    <w:rsid w:val="00083B6C"/>
    <w:rsid w:val="00083B85"/>
    <w:rsid w:val="00083B99"/>
    <w:rsid w:val="00083DD4"/>
    <w:rsid w:val="00084435"/>
    <w:rsid w:val="00084587"/>
    <w:rsid w:val="000849A8"/>
    <w:rsid w:val="00084B98"/>
    <w:rsid w:val="00084D6C"/>
    <w:rsid w:val="00084E94"/>
    <w:rsid w:val="0008511B"/>
    <w:rsid w:val="00085179"/>
    <w:rsid w:val="000852CD"/>
    <w:rsid w:val="0008560D"/>
    <w:rsid w:val="00085631"/>
    <w:rsid w:val="00085A55"/>
    <w:rsid w:val="00085B68"/>
    <w:rsid w:val="00085BA8"/>
    <w:rsid w:val="00085BE8"/>
    <w:rsid w:val="00085C48"/>
    <w:rsid w:val="0008604A"/>
    <w:rsid w:val="000860C5"/>
    <w:rsid w:val="000860F5"/>
    <w:rsid w:val="000861E9"/>
    <w:rsid w:val="0008633D"/>
    <w:rsid w:val="00086414"/>
    <w:rsid w:val="000865CC"/>
    <w:rsid w:val="00086653"/>
    <w:rsid w:val="000867BC"/>
    <w:rsid w:val="000867D1"/>
    <w:rsid w:val="00086903"/>
    <w:rsid w:val="000869EF"/>
    <w:rsid w:val="00086A6D"/>
    <w:rsid w:val="00086AD6"/>
    <w:rsid w:val="00086BDA"/>
    <w:rsid w:val="00086C68"/>
    <w:rsid w:val="00086CCF"/>
    <w:rsid w:val="00086DEE"/>
    <w:rsid w:val="00086EE0"/>
    <w:rsid w:val="00086F82"/>
    <w:rsid w:val="00087461"/>
    <w:rsid w:val="000874BA"/>
    <w:rsid w:val="00087504"/>
    <w:rsid w:val="00087AC8"/>
    <w:rsid w:val="00087F18"/>
    <w:rsid w:val="0009046D"/>
    <w:rsid w:val="000905CE"/>
    <w:rsid w:val="00090673"/>
    <w:rsid w:val="00090930"/>
    <w:rsid w:val="00090A42"/>
    <w:rsid w:val="00090BBF"/>
    <w:rsid w:val="00090CA5"/>
    <w:rsid w:val="00091070"/>
    <w:rsid w:val="000911A2"/>
    <w:rsid w:val="00091212"/>
    <w:rsid w:val="00091231"/>
    <w:rsid w:val="00091402"/>
    <w:rsid w:val="000916EE"/>
    <w:rsid w:val="00091790"/>
    <w:rsid w:val="0009186A"/>
    <w:rsid w:val="00091954"/>
    <w:rsid w:val="00091EF1"/>
    <w:rsid w:val="00091FAB"/>
    <w:rsid w:val="00091FC8"/>
    <w:rsid w:val="00092479"/>
    <w:rsid w:val="0009249F"/>
    <w:rsid w:val="00092680"/>
    <w:rsid w:val="0009289B"/>
    <w:rsid w:val="00092A32"/>
    <w:rsid w:val="00092A70"/>
    <w:rsid w:val="00092D31"/>
    <w:rsid w:val="00092E15"/>
    <w:rsid w:val="00092EE2"/>
    <w:rsid w:val="000930D0"/>
    <w:rsid w:val="0009324F"/>
    <w:rsid w:val="00093451"/>
    <w:rsid w:val="00093458"/>
    <w:rsid w:val="000934F6"/>
    <w:rsid w:val="00093503"/>
    <w:rsid w:val="00093507"/>
    <w:rsid w:val="000938E7"/>
    <w:rsid w:val="00093919"/>
    <w:rsid w:val="0009396D"/>
    <w:rsid w:val="00093A08"/>
    <w:rsid w:val="00093B02"/>
    <w:rsid w:val="00093B65"/>
    <w:rsid w:val="00093B8A"/>
    <w:rsid w:val="00093BB2"/>
    <w:rsid w:val="00093BC9"/>
    <w:rsid w:val="00093D12"/>
    <w:rsid w:val="00093E0D"/>
    <w:rsid w:val="00093F66"/>
    <w:rsid w:val="00093FAC"/>
    <w:rsid w:val="000940C4"/>
    <w:rsid w:val="000942E3"/>
    <w:rsid w:val="00094428"/>
    <w:rsid w:val="000944EE"/>
    <w:rsid w:val="000945C1"/>
    <w:rsid w:val="000945C4"/>
    <w:rsid w:val="000945DE"/>
    <w:rsid w:val="000945FF"/>
    <w:rsid w:val="00094621"/>
    <w:rsid w:val="000946DF"/>
    <w:rsid w:val="00094706"/>
    <w:rsid w:val="0009471C"/>
    <w:rsid w:val="00094D92"/>
    <w:rsid w:val="00094ECA"/>
    <w:rsid w:val="000950FB"/>
    <w:rsid w:val="00095454"/>
    <w:rsid w:val="00095464"/>
    <w:rsid w:val="0009546F"/>
    <w:rsid w:val="00095582"/>
    <w:rsid w:val="000956EE"/>
    <w:rsid w:val="000958F5"/>
    <w:rsid w:val="00095A08"/>
    <w:rsid w:val="00095C41"/>
    <w:rsid w:val="0009600A"/>
    <w:rsid w:val="000960AA"/>
    <w:rsid w:val="00096120"/>
    <w:rsid w:val="00096197"/>
    <w:rsid w:val="0009638F"/>
    <w:rsid w:val="00096595"/>
    <w:rsid w:val="000965E2"/>
    <w:rsid w:val="000965E3"/>
    <w:rsid w:val="000968D3"/>
    <w:rsid w:val="00096CB8"/>
    <w:rsid w:val="00096E06"/>
    <w:rsid w:val="000970A4"/>
    <w:rsid w:val="00097300"/>
    <w:rsid w:val="000973CE"/>
    <w:rsid w:val="00097493"/>
    <w:rsid w:val="00097751"/>
    <w:rsid w:val="00097987"/>
    <w:rsid w:val="000979E2"/>
    <w:rsid w:val="00097B0F"/>
    <w:rsid w:val="00097D26"/>
    <w:rsid w:val="00097EA3"/>
    <w:rsid w:val="000A0097"/>
    <w:rsid w:val="000A02FC"/>
    <w:rsid w:val="000A0338"/>
    <w:rsid w:val="000A03F3"/>
    <w:rsid w:val="000A06CB"/>
    <w:rsid w:val="000A07A5"/>
    <w:rsid w:val="000A09AB"/>
    <w:rsid w:val="000A0A92"/>
    <w:rsid w:val="000A0A94"/>
    <w:rsid w:val="000A0B5C"/>
    <w:rsid w:val="000A0B6F"/>
    <w:rsid w:val="000A0BBC"/>
    <w:rsid w:val="000A0C45"/>
    <w:rsid w:val="000A0E9D"/>
    <w:rsid w:val="000A0F58"/>
    <w:rsid w:val="000A1169"/>
    <w:rsid w:val="000A1245"/>
    <w:rsid w:val="000A128A"/>
    <w:rsid w:val="000A14DD"/>
    <w:rsid w:val="000A18F8"/>
    <w:rsid w:val="000A197B"/>
    <w:rsid w:val="000A1C60"/>
    <w:rsid w:val="000A1CC6"/>
    <w:rsid w:val="000A1DD7"/>
    <w:rsid w:val="000A1F03"/>
    <w:rsid w:val="000A1F68"/>
    <w:rsid w:val="000A1FB9"/>
    <w:rsid w:val="000A2096"/>
    <w:rsid w:val="000A2165"/>
    <w:rsid w:val="000A21B1"/>
    <w:rsid w:val="000A21F3"/>
    <w:rsid w:val="000A22C7"/>
    <w:rsid w:val="000A23A5"/>
    <w:rsid w:val="000A263D"/>
    <w:rsid w:val="000A278E"/>
    <w:rsid w:val="000A2807"/>
    <w:rsid w:val="000A2AC9"/>
    <w:rsid w:val="000A2B87"/>
    <w:rsid w:val="000A2BC9"/>
    <w:rsid w:val="000A2DC4"/>
    <w:rsid w:val="000A2EAE"/>
    <w:rsid w:val="000A3182"/>
    <w:rsid w:val="000A3397"/>
    <w:rsid w:val="000A33A1"/>
    <w:rsid w:val="000A3745"/>
    <w:rsid w:val="000A37DD"/>
    <w:rsid w:val="000A387F"/>
    <w:rsid w:val="000A39A8"/>
    <w:rsid w:val="000A3A53"/>
    <w:rsid w:val="000A3A82"/>
    <w:rsid w:val="000A3AD0"/>
    <w:rsid w:val="000A4006"/>
    <w:rsid w:val="000A4396"/>
    <w:rsid w:val="000A469E"/>
    <w:rsid w:val="000A4875"/>
    <w:rsid w:val="000A48D6"/>
    <w:rsid w:val="000A4B36"/>
    <w:rsid w:val="000A4D36"/>
    <w:rsid w:val="000A5015"/>
    <w:rsid w:val="000A5031"/>
    <w:rsid w:val="000A525A"/>
    <w:rsid w:val="000A5263"/>
    <w:rsid w:val="000A545E"/>
    <w:rsid w:val="000A57D0"/>
    <w:rsid w:val="000A5FB5"/>
    <w:rsid w:val="000A6203"/>
    <w:rsid w:val="000A62D0"/>
    <w:rsid w:val="000A6501"/>
    <w:rsid w:val="000A65E3"/>
    <w:rsid w:val="000A6683"/>
    <w:rsid w:val="000A6799"/>
    <w:rsid w:val="000A67D4"/>
    <w:rsid w:val="000A6868"/>
    <w:rsid w:val="000A69FA"/>
    <w:rsid w:val="000A6C2D"/>
    <w:rsid w:val="000A6CD0"/>
    <w:rsid w:val="000A6D04"/>
    <w:rsid w:val="000A6E01"/>
    <w:rsid w:val="000A6E89"/>
    <w:rsid w:val="000A6E9B"/>
    <w:rsid w:val="000A70C6"/>
    <w:rsid w:val="000A71AA"/>
    <w:rsid w:val="000A71BC"/>
    <w:rsid w:val="000A7201"/>
    <w:rsid w:val="000A74AC"/>
    <w:rsid w:val="000A76B9"/>
    <w:rsid w:val="000A7A95"/>
    <w:rsid w:val="000A7A9C"/>
    <w:rsid w:val="000A7C55"/>
    <w:rsid w:val="000A7D35"/>
    <w:rsid w:val="000A7F2B"/>
    <w:rsid w:val="000B0125"/>
    <w:rsid w:val="000B012A"/>
    <w:rsid w:val="000B013F"/>
    <w:rsid w:val="000B015A"/>
    <w:rsid w:val="000B0221"/>
    <w:rsid w:val="000B02CE"/>
    <w:rsid w:val="000B048F"/>
    <w:rsid w:val="000B06AA"/>
    <w:rsid w:val="000B07DD"/>
    <w:rsid w:val="000B09C1"/>
    <w:rsid w:val="000B0D0B"/>
    <w:rsid w:val="000B0D2E"/>
    <w:rsid w:val="000B0E8E"/>
    <w:rsid w:val="000B100E"/>
    <w:rsid w:val="000B10A3"/>
    <w:rsid w:val="000B12DB"/>
    <w:rsid w:val="000B12E7"/>
    <w:rsid w:val="000B135D"/>
    <w:rsid w:val="000B14DD"/>
    <w:rsid w:val="000B19A3"/>
    <w:rsid w:val="000B1E14"/>
    <w:rsid w:val="000B1FEC"/>
    <w:rsid w:val="000B206B"/>
    <w:rsid w:val="000B20E0"/>
    <w:rsid w:val="000B22FC"/>
    <w:rsid w:val="000B23ED"/>
    <w:rsid w:val="000B241E"/>
    <w:rsid w:val="000B2444"/>
    <w:rsid w:val="000B2520"/>
    <w:rsid w:val="000B2684"/>
    <w:rsid w:val="000B28E4"/>
    <w:rsid w:val="000B28FF"/>
    <w:rsid w:val="000B29CE"/>
    <w:rsid w:val="000B2A3C"/>
    <w:rsid w:val="000B2E78"/>
    <w:rsid w:val="000B2EAB"/>
    <w:rsid w:val="000B2F04"/>
    <w:rsid w:val="000B3001"/>
    <w:rsid w:val="000B30DA"/>
    <w:rsid w:val="000B318E"/>
    <w:rsid w:val="000B318F"/>
    <w:rsid w:val="000B33D3"/>
    <w:rsid w:val="000B3886"/>
    <w:rsid w:val="000B3A1C"/>
    <w:rsid w:val="000B3CC6"/>
    <w:rsid w:val="000B3E7A"/>
    <w:rsid w:val="000B3F62"/>
    <w:rsid w:val="000B417D"/>
    <w:rsid w:val="000B4310"/>
    <w:rsid w:val="000B45D3"/>
    <w:rsid w:val="000B4603"/>
    <w:rsid w:val="000B477C"/>
    <w:rsid w:val="000B4788"/>
    <w:rsid w:val="000B47CE"/>
    <w:rsid w:val="000B48EE"/>
    <w:rsid w:val="000B496F"/>
    <w:rsid w:val="000B4AD2"/>
    <w:rsid w:val="000B4B1B"/>
    <w:rsid w:val="000B4BA4"/>
    <w:rsid w:val="000B4CD9"/>
    <w:rsid w:val="000B4D08"/>
    <w:rsid w:val="000B4DFD"/>
    <w:rsid w:val="000B4E3A"/>
    <w:rsid w:val="000B4FE7"/>
    <w:rsid w:val="000B50D1"/>
    <w:rsid w:val="000B5252"/>
    <w:rsid w:val="000B5347"/>
    <w:rsid w:val="000B53BD"/>
    <w:rsid w:val="000B5622"/>
    <w:rsid w:val="000B5642"/>
    <w:rsid w:val="000B57C1"/>
    <w:rsid w:val="000B5835"/>
    <w:rsid w:val="000B5AC3"/>
    <w:rsid w:val="000B5B0D"/>
    <w:rsid w:val="000B5D04"/>
    <w:rsid w:val="000B5E44"/>
    <w:rsid w:val="000B5F6D"/>
    <w:rsid w:val="000B5F99"/>
    <w:rsid w:val="000B614F"/>
    <w:rsid w:val="000B62D2"/>
    <w:rsid w:val="000B62E3"/>
    <w:rsid w:val="000B633E"/>
    <w:rsid w:val="000B667E"/>
    <w:rsid w:val="000B6830"/>
    <w:rsid w:val="000B6B8E"/>
    <w:rsid w:val="000B6C33"/>
    <w:rsid w:val="000B6C59"/>
    <w:rsid w:val="000B6D80"/>
    <w:rsid w:val="000B707C"/>
    <w:rsid w:val="000B71E0"/>
    <w:rsid w:val="000B73E2"/>
    <w:rsid w:val="000B73E4"/>
    <w:rsid w:val="000B740C"/>
    <w:rsid w:val="000B7504"/>
    <w:rsid w:val="000B76A9"/>
    <w:rsid w:val="000B77C1"/>
    <w:rsid w:val="000B782D"/>
    <w:rsid w:val="000B787D"/>
    <w:rsid w:val="000B7912"/>
    <w:rsid w:val="000B7B13"/>
    <w:rsid w:val="000B7B70"/>
    <w:rsid w:val="000B7B85"/>
    <w:rsid w:val="000B7CE3"/>
    <w:rsid w:val="000B7CE4"/>
    <w:rsid w:val="000B7E9D"/>
    <w:rsid w:val="000B7FAC"/>
    <w:rsid w:val="000B7FF7"/>
    <w:rsid w:val="000C0243"/>
    <w:rsid w:val="000C02EA"/>
    <w:rsid w:val="000C036F"/>
    <w:rsid w:val="000C051C"/>
    <w:rsid w:val="000C06D1"/>
    <w:rsid w:val="000C0843"/>
    <w:rsid w:val="000C0900"/>
    <w:rsid w:val="000C0932"/>
    <w:rsid w:val="000C0A2B"/>
    <w:rsid w:val="000C0CF1"/>
    <w:rsid w:val="000C0D9F"/>
    <w:rsid w:val="000C0E03"/>
    <w:rsid w:val="000C1647"/>
    <w:rsid w:val="000C196C"/>
    <w:rsid w:val="000C1BED"/>
    <w:rsid w:val="000C1D18"/>
    <w:rsid w:val="000C1F09"/>
    <w:rsid w:val="000C1F80"/>
    <w:rsid w:val="000C212A"/>
    <w:rsid w:val="000C2134"/>
    <w:rsid w:val="000C2242"/>
    <w:rsid w:val="000C2258"/>
    <w:rsid w:val="000C24A3"/>
    <w:rsid w:val="000C2599"/>
    <w:rsid w:val="000C26E2"/>
    <w:rsid w:val="000C2BA6"/>
    <w:rsid w:val="000C2D21"/>
    <w:rsid w:val="000C2EE7"/>
    <w:rsid w:val="000C3066"/>
    <w:rsid w:val="000C3092"/>
    <w:rsid w:val="000C33FD"/>
    <w:rsid w:val="000C3465"/>
    <w:rsid w:val="000C3546"/>
    <w:rsid w:val="000C3878"/>
    <w:rsid w:val="000C38A3"/>
    <w:rsid w:val="000C3930"/>
    <w:rsid w:val="000C3E03"/>
    <w:rsid w:val="000C3F25"/>
    <w:rsid w:val="000C416F"/>
    <w:rsid w:val="000C480B"/>
    <w:rsid w:val="000C4829"/>
    <w:rsid w:val="000C49E6"/>
    <w:rsid w:val="000C4A17"/>
    <w:rsid w:val="000C4C88"/>
    <w:rsid w:val="000C4CF9"/>
    <w:rsid w:val="000C4E9F"/>
    <w:rsid w:val="000C4F6B"/>
    <w:rsid w:val="000C50CB"/>
    <w:rsid w:val="000C5321"/>
    <w:rsid w:val="000C5414"/>
    <w:rsid w:val="000C57BF"/>
    <w:rsid w:val="000C585D"/>
    <w:rsid w:val="000C5AC0"/>
    <w:rsid w:val="000C5BA3"/>
    <w:rsid w:val="000C5BD5"/>
    <w:rsid w:val="000C5D6F"/>
    <w:rsid w:val="000C5DBF"/>
    <w:rsid w:val="000C5E47"/>
    <w:rsid w:val="000C619A"/>
    <w:rsid w:val="000C6207"/>
    <w:rsid w:val="000C6325"/>
    <w:rsid w:val="000C645C"/>
    <w:rsid w:val="000C648C"/>
    <w:rsid w:val="000C6670"/>
    <w:rsid w:val="000C6BBF"/>
    <w:rsid w:val="000C6BD7"/>
    <w:rsid w:val="000C6D08"/>
    <w:rsid w:val="000C6E5B"/>
    <w:rsid w:val="000C6F1D"/>
    <w:rsid w:val="000C6F79"/>
    <w:rsid w:val="000C6FEE"/>
    <w:rsid w:val="000C701E"/>
    <w:rsid w:val="000C7191"/>
    <w:rsid w:val="000C7208"/>
    <w:rsid w:val="000C728B"/>
    <w:rsid w:val="000C7403"/>
    <w:rsid w:val="000C74A1"/>
    <w:rsid w:val="000C75C6"/>
    <w:rsid w:val="000C7683"/>
    <w:rsid w:val="000C7737"/>
    <w:rsid w:val="000C77DF"/>
    <w:rsid w:val="000C77E7"/>
    <w:rsid w:val="000C7A79"/>
    <w:rsid w:val="000C7C15"/>
    <w:rsid w:val="000C7C2B"/>
    <w:rsid w:val="000D03D1"/>
    <w:rsid w:val="000D0509"/>
    <w:rsid w:val="000D06DB"/>
    <w:rsid w:val="000D077A"/>
    <w:rsid w:val="000D07D4"/>
    <w:rsid w:val="000D0A81"/>
    <w:rsid w:val="000D0C22"/>
    <w:rsid w:val="000D0CA7"/>
    <w:rsid w:val="000D100C"/>
    <w:rsid w:val="000D1087"/>
    <w:rsid w:val="000D1088"/>
    <w:rsid w:val="000D10EB"/>
    <w:rsid w:val="000D11C5"/>
    <w:rsid w:val="000D127C"/>
    <w:rsid w:val="000D13DE"/>
    <w:rsid w:val="000D14B9"/>
    <w:rsid w:val="000D16B0"/>
    <w:rsid w:val="000D174C"/>
    <w:rsid w:val="000D1AE3"/>
    <w:rsid w:val="000D1B97"/>
    <w:rsid w:val="000D1CDB"/>
    <w:rsid w:val="000D1F2E"/>
    <w:rsid w:val="000D210E"/>
    <w:rsid w:val="000D25AE"/>
    <w:rsid w:val="000D2876"/>
    <w:rsid w:val="000D2BF5"/>
    <w:rsid w:val="000D2C0D"/>
    <w:rsid w:val="000D2C70"/>
    <w:rsid w:val="000D2D05"/>
    <w:rsid w:val="000D2D54"/>
    <w:rsid w:val="000D335F"/>
    <w:rsid w:val="000D3372"/>
    <w:rsid w:val="000D3495"/>
    <w:rsid w:val="000D34E8"/>
    <w:rsid w:val="000D357B"/>
    <w:rsid w:val="000D35C8"/>
    <w:rsid w:val="000D37E0"/>
    <w:rsid w:val="000D382D"/>
    <w:rsid w:val="000D3920"/>
    <w:rsid w:val="000D3A32"/>
    <w:rsid w:val="000D3BF8"/>
    <w:rsid w:val="000D3DBE"/>
    <w:rsid w:val="000D3ECA"/>
    <w:rsid w:val="000D3FB4"/>
    <w:rsid w:val="000D41AD"/>
    <w:rsid w:val="000D4460"/>
    <w:rsid w:val="000D44B9"/>
    <w:rsid w:val="000D4702"/>
    <w:rsid w:val="000D4899"/>
    <w:rsid w:val="000D491E"/>
    <w:rsid w:val="000D49D8"/>
    <w:rsid w:val="000D4BC7"/>
    <w:rsid w:val="000D4D99"/>
    <w:rsid w:val="000D4E1A"/>
    <w:rsid w:val="000D4F93"/>
    <w:rsid w:val="000D5023"/>
    <w:rsid w:val="000D505B"/>
    <w:rsid w:val="000D51E2"/>
    <w:rsid w:val="000D529E"/>
    <w:rsid w:val="000D5382"/>
    <w:rsid w:val="000D53D8"/>
    <w:rsid w:val="000D545F"/>
    <w:rsid w:val="000D5528"/>
    <w:rsid w:val="000D555E"/>
    <w:rsid w:val="000D5837"/>
    <w:rsid w:val="000D5A48"/>
    <w:rsid w:val="000D5B1E"/>
    <w:rsid w:val="000D5C11"/>
    <w:rsid w:val="000D5CE5"/>
    <w:rsid w:val="000D5EDB"/>
    <w:rsid w:val="000D61C7"/>
    <w:rsid w:val="000D61DC"/>
    <w:rsid w:val="000D6338"/>
    <w:rsid w:val="000D67DB"/>
    <w:rsid w:val="000D67DC"/>
    <w:rsid w:val="000D693F"/>
    <w:rsid w:val="000D6B99"/>
    <w:rsid w:val="000D6DB1"/>
    <w:rsid w:val="000D6E2F"/>
    <w:rsid w:val="000D6EA4"/>
    <w:rsid w:val="000D726F"/>
    <w:rsid w:val="000D736C"/>
    <w:rsid w:val="000D7371"/>
    <w:rsid w:val="000D73D3"/>
    <w:rsid w:val="000D7615"/>
    <w:rsid w:val="000D768B"/>
    <w:rsid w:val="000D76F7"/>
    <w:rsid w:val="000D77D8"/>
    <w:rsid w:val="000D7A37"/>
    <w:rsid w:val="000D7AB7"/>
    <w:rsid w:val="000D7CF4"/>
    <w:rsid w:val="000D7D30"/>
    <w:rsid w:val="000D7D79"/>
    <w:rsid w:val="000D7E05"/>
    <w:rsid w:val="000D7EBB"/>
    <w:rsid w:val="000D7F3B"/>
    <w:rsid w:val="000E00A3"/>
    <w:rsid w:val="000E00B9"/>
    <w:rsid w:val="000E0227"/>
    <w:rsid w:val="000E0279"/>
    <w:rsid w:val="000E04DD"/>
    <w:rsid w:val="000E0912"/>
    <w:rsid w:val="000E0927"/>
    <w:rsid w:val="000E0BFB"/>
    <w:rsid w:val="000E0E31"/>
    <w:rsid w:val="000E0FA9"/>
    <w:rsid w:val="000E1157"/>
    <w:rsid w:val="000E119A"/>
    <w:rsid w:val="000E1234"/>
    <w:rsid w:val="000E1349"/>
    <w:rsid w:val="000E1381"/>
    <w:rsid w:val="000E152F"/>
    <w:rsid w:val="000E1755"/>
    <w:rsid w:val="000E184A"/>
    <w:rsid w:val="000E1E7F"/>
    <w:rsid w:val="000E1E88"/>
    <w:rsid w:val="000E1F31"/>
    <w:rsid w:val="000E23A5"/>
    <w:rsid w:val="000E290F"/>
    <w:rsid w:val="000E2989"/>
    <w:rsid w:val="000E2DF4"/>
    <w:rsid w:val="000E2EEB"/>
    <w:rsid w:val="000E30AB"/>
    <w:rsid w:val="000E3152"/>
    <w:rsid w:val="000E31A5"/>
    <w:rsid w:val="000E31EF"/>
    <w:rsid w:val="000E349C"/>
    <w:rsid w:val="000E3511"/>
    <w:rsid w:val="000E351C"/>
    <w:rsid w:val="000E36B4"/>
    <w:rsid w:val="000E3753"/>
    <w:rsid w:val="000E37E5"/>
    <w:rsid w:val="000E38B1"/>
    <w:rsid w:val="000E3B3C"/>
    <w:rsid w:val="000E3BD2"/>
    <w:rsid w:val="000E3EF2"/>
    <w:rsid w:val="000E400B"/>
    <w:rsid w:val="000E41B6"/>
    <w:rsid w:val="000E42E9"/>
    <w:rsid w:val="000E4471"/>
    <w:rsid w:val="000E477F"/>
    <w:rsid w:val="000E4797"/>
    <w:rsid w:val="000E4842"/>
    <w:rsid w:val="000E4949"/>
    <w:rsid w:val="000E494F"/>
    <w:rsid w:val="000E49B9"/>
    <w:rsid w:val="000E4A27"/>
    <w:rsid w:val="000E4A42"/>
    <w:rsid w:val="000E4B6F"/>
    <w:rsid w:val="000E4C14"/>
    <w:rsid w:val="000E4F5E"/>
    <w:rsid w:val="000E5144"/>
    <w:rsid w:val="000E536F"/>
    <w:rsid w:val="000E55AF"/>
    <w:rsid w:val="000E5662"/>
    <w:rsid w:val="000E5771"/>
    <w:rsid w:val="000E5772"/>
    <w:rsid w:val="000E593C"/>
    <w:rsid w:val="000E5AE1"/>
    <w:rsid w:val="000E5BBD"/>
    <w:rsid w:val="000E5BED"/>
    <w:rsid w:val="000E5CD9"/>
    <w:rsid w:val="000E5D83"/>
    <w:rsid w:val="000E5E24"/>
    <w:rsid w:val="000E5E32"/>
    <w:rsid w:val="000E5F95"/>
    <w:rsid w:val="000E5FA6"/>
    <w:rsid w:val="000E6119"/>
    <w:rsid w:val="000E644C"/>
    <w:rsid w:val="000E65C0"/>
    <w:rsid w:val="000E6642"/>
    <w:rsid w:val="000E666D"/>
    <w:rsid w:val="000E6679"/>
    <w:rsid w:val="000E66A0"/>
    <w:rsid w:val="000E66DE"/>
    <w:rsid w:val="000E694B"/>
    <w:rsid w:val="000E6D43"/>
    <w:rsid w:val="000E6E66"/>
    <w:rsid w:val="000E6E87"/>
    <w:rsid w:val="000E70C1"/>
    <w:rsid w:val="000E72C7"/>
    <w:rsid w:val="000E7349"/>
    <w:rsid w:val="000E7575"/>
    <w:rsid w:val="000E76E2"/>
    <w:rsid w:val="000E77AE"/>
    <w:rsid w:val="000E7883"/>
    <w:rsid w:val="000F00C3"/>
    <w:rsid w:val="000F010A"/>
    <w:rsid w:val="000F01C9"/>
    <w:rsid w:val="000F03D5"/>
    <w:rsid w:val="000F03E8"/>
    <w:rsid w:val="000F0A2E"/>
    <w:rsid w:val="000F0A43"/>
    <w:rsid w:val="000F0A9F"/>
    <w:rsid w:val="000F0BF2"/>
    <w:rsid w:val="000F0D88"/>
    <w:rsid w:val="000F1367"/>
    <w:rsid w:val="000F13C5"/>
    <w:rsid w:val="000F1620"/>
    <w:rsid w:val="000F1919"/>
    <w:rsid w:val="000F1B27"/>
    <w:rsid w:val="000F1E77"/>
    <w:rsid w:val="000F1E8E"/>
    <w:rsid w:val="000F1FDD"/>
    <w:rsid w:val="000F2047"/>
    <w:rsid w:val="000F206D"/>
    <w:rsid w:val="000F244C"/>
    <w:rsid w:val="000F2775"/>
    <w:rsid w:val="000F279A"/>
    <w:rsid w:val="000F288B"/>
    <w:rsid w:val="000F29E7"/>
    <w:rsid w:val="000F2E4A"/>
    <w:rsid w:val="000F2E4E"/>
    <w:rsid w:val="000F2E8E"/>
    <w:rsid w:val="000F2F3C"/>
    <w:rsid w:val="000F309C"/>
    <w:rsid w:val="000F31EA"/>
    <w:rsid w:val="000F3278"/>
    <w:rsid w:val="000F3307"/>
    <w:rsid w:val="000F33E9"/>
    <w:rsid w:val="000F34FD"/>
    <w:rsid w:val="000F3534"/>
    <w:rsid w:val="000F3584"/>
    <w:rsid w:val="000F361C"/>
    <w:rsid w:val="000F36D8"/>
    <w:rsid w:val="000F36E9"/>
    <w:rsid w:val="000F3975"/>
    <w:rsid w:val="000F3A5A"/>
    <w:rsid w:val="000F3C10"/>
    <w:rsid w:val="000F3C50"/>
    <w:rsid w:val="000F3CE3"/>
    <w:rsid w:val="000F3F0F"/>
    <w:rsid w:val="000F4078"/>
    <w:rsid w:val="000F4104"/>
    <w:rsid w:val="000F43A4"/>
    <w:rsid w:val="000F4461"/>
    <w:rsid w:val="000F44AE"/>
    <w:rsid w:val="000F4591"/>
    <w:rsid w:val="000F4695"/>
    <w:rsid w:val="000F480A"/>
    <w:rsid w:val="000F488F"/>
    <w:rsid w:val="000F4ACE"/>
    <w:rsid w:val="000F4B52"/>
    <w:rsid w:val="000F4C86"/>
    <w:rsid w:val="000F5126"/>
    <w:rsid w:val="000F5135"/>
    <w:rsid w:val="000F5261"/>
    <w:rsid w:val="000F5606"/>
    <w:rsid w:val="000F5866"/>
    <w:rsid w:val="000F5937"/>
    <w:rsid w:val="000F59F2"/>
    <w:rsid w:val="000F5A0A"/>
    <w:rsid w:val="000F5B42"/>
    <w:rsid w:val="000F5EBF"/>
    <w:rsid w:val="000F5EC4"/>
    <w:rsid w:val="000F6061"/>
    <w:rsid w:val="000F6082"/>
    <w:rsid w:val="000F612D"/>
    <w:rsid w:val="000F64DB"/>
    <w:rsid w:val="000F6801"/>
    <w:rsid w:val="000F6926"/>
    <w:rsid w:val="000F6BD8"/>
    <w:rsid w:val="000F6CFC"/>
    <w:rsid w:val="000F6D92"/>
    <w:rsid w:val="000F6DEC"/>
    <w:rsid w:val="000F6E57"/>
    <w:rsid w:val="000F718E"/>
    <w:rsid w:val="000F71E1"/>
    <w:rsid w:val="000F7336"/>
    <w:rsid w:val="000F754F"/>
    <w:rsid w:val="000F7581"/>
    <w:rsid w:val="000F7638"/>
    <w:rsid w:val="000F76EE"/>
    <w:rsid w:val="000F790E"/>
    <w:rsid w:val="000F7938"/>
    <w:rsid w:val="000F7A41"/>
    <w:rsid w:val="000F7B66"/>
    <w:rsid w:val="000F7DCE"/>
    <w:rsid w:val="00100009"/>
    <w:rsid w:val="0010023D"/>
    <w:rsid w:val="0010033D"/>
    <w:rsid w:val="0010034D"/>
    <w:rsid w:val="00100555"/>
    <w:rsid w:val="00100622"/>
    <w:rsid w:val="0010083A"/>
    <w:rsid w:val="001008AE"/>
    <w:rsid w:val="001008F2"/>
    <w:rsid w:val="001008FA"/>
    <w:rsid w:val="00100A05"/>
    <w:rsid w:val="00100A69"/>
    <w:rsid w:val="00100AA1"/>
    <w:rsid w:val="00100CCB"/>
    <w:rsid w:val="001010ED"/>
    <w:rsid w:val="00101123"/>
    <w:rsid w:val="001011FD"/>
    <w:rsid w:val="00101241"/>
    <w:rsid w:val="00101301"/>
    <w:rsid w:val="0010133B"/>
    <w:rsid w:val="001014CB"/>
    <w:rsid w:val="0010154E"/>
    <w:rsid w:val="00101582"/>
    <w:rsid w:val="00101767"/>
    <w:rsid w:val="001018D2"/>
    <w:rsid w:val="001018D5"/>
    <w:rsid w:val="00101995"/>
    <w:rsid w:val="00101A5B"/>
    <w:rsid w:val="00101C0F"/>
    <w:rsid w:val="00101CB2"/>
    <w:rsid w:val="00101D17"/>
    <w:rsid w:val="00101E51"/>
    <w:rsid w:val="00101EF5"/>
    <w:rsid w:val="0010218F"/>
    <w:rsid w:val="001021D3"/>
    <w:rsid w:val="00102242"/>
    <w:rsid w:val="0010224B"/>
    <w:rsid w:val="001022AB"/>
    <w:rsid w:val="0010240A"/>
    <w:rsid w:val="00102566"/>
    <w:rsid w:val="00102808"/>
    <w:rsid w:val="0010283E"/>
    <w:rsid w:val="001028B7"/>
    <w:rsid w:val="001028FB"/>
    <w:rsid w:val="0010295F"/>
    <w:rsid w:val="001029B9"/>
    <w:rsid w:val="00102CE1"/>
    <w:rsid w:val="00102CFE"/>
    <w:rsid w:val="00102D42"/>
    <w:rsid w:val="00102F38"/>
    <w:rsid w:val="001030D1"/>
    <w:rsid w:val="00103353"/>
    <w:rsid w:val="00103480"/>
    <w:rsid w:val="0010379D"/>
    <w:rsid w:val="001037CE"/>
    <w:rsid w:val="0010387A"/>
    <w:rsid w:val="001038A6"/>
    <w:rsid w:val="00103DD5"/>
    <w:rsid w:val="00103E1C"/>
    <w:rsid w:val="00103E92"/>
    <w:rsid w:val="00103FE5"/>
    <w:rsid w:val="0010407D"/>
    <w:rsid w:val="001040AB"/>
    <w:rsid w:val="00104169"/>
    <w:rsid w:val="00104219"/>
    <w:rsid w:val="0010433E"/>
    <w:rsid w:val="00104409"/>
    <w:rsid w:val="0010456C"/>
    <w:rsid w:val="001045FF"/>
    <w:rsid w:val="001047C4"/>
    <w:rsid w:val="00104867"/>
    <w:rsid w:val="00104877"/>
    <w:rsid w:val="00104AA9"/>
    <w:rsid w:val="00104C33"/>
    <w:rsid w:val="00104CDE"/>
    <w:rsid w:val="00104F9E"/>
    <w:rsid w:val="001056E0"/>
    <w:rsid w:val="001057F9"/>
    <w:rsid w:val="001058ED"/>
    <w:rsid w:val="00105C10"/>
    <w:rsid w:val="00105C98"/>
    <w:rsid w:val="00105CC4"/>
    <w:rsid w:val="00105E73"/>
    <w:rsid w:val="00105F4C"/>
    <w:rsid w:val="00105FB5"/>
    <w:rsid w:val="00106175"/>
    <w:rsid w:val="0010620E"/>
    <w:rsid w:val="00106220"/>
    <w:rsid w:val="0010661A"/>
    <w:rsid w:val="00106683"/>
    <w:rsid w:val="001069EA"/>
    <w:rsid w:val="00106D29"/>
    <w:rsid w:val="00106DCC"/>
    <w:rsid w:val="00106E68"/>
    <w:rsid w:val="00106EA4"/>
    <w:rsid w:val="00106F97"/>
    <w:rsid w:val="00107017"/>
    <w:rsid w:val="0010707F"/>
    <w:rsid w:val="00107118"/>
    <w:rsid w:val="00107286"/>
    <w:rsid w:val="0010738D"/>
    <w:rsid w:val="001074FA"/>
    <w:rsid w:val="0010757D"/>
    <w:rsid w:val="00107836"/>
    <w:rsid w:val="00107886"/>
    <w:rsid w:val="00107C35"/>
    <w:rsid w:val="00107CAC"/>
    <w:rsid w:val="00107CBD"/>
    <w:rsid w:val="00107E2B"/>
    <w:rsid w:val="00107E73"/>
    <w:rsid w:val="00107FDC"/>
    <w:rsid w:val="0011031A"/>
    <w:rsid w:val="001103B0"/>
    <w:rsid w:val="00110901"/>
    <w:rsid w:val="00110977"/>
    <w:rsid w:val="0011098F"/>
    <w:rsid w:val="00110A86"/>
    <w:rsid w:val="00110D40"/>
    <w:rsid w:val="00110DCF"/>
    <w:rsid w:val="00110E89"/>
    <w:rsid w:val="00110E9F"/>
    <w:rsid w:val="00111243"/>
    <w:rsid w:val="001113CF"/>
    <w:rsid w:val="00111533"/>
    <w:rsid w:val="00111569"/>
    <w:rsid w:val="001116DB"/>
    <w:rsid w:val="00111797"/>
    <w:rsid w:val="00111B0F"/>
    <w:rsid w:val="00111E84"/>
    <w:rsid w:val="00111EC7"/>
    <w:rsid w:val="00111EE1"/>
    <w:rsid w:val="00112028"/>
    <w:rsid w:val="001120E4"/>
    <w:rsid w:val="001123C5"/>
    <w:rsid w:val="00112434"/>
    <w:rsid w:val="00112A7B"/>
    <w:rsid w:val="00112A8C"/>
    <w:rsid w:val="00112BD7"/>
    <w:rsid w:val="00112C11"/>
    <w:rsid w:val="00112CCF"/>
    <w:rsid w:val="0011309A"/>
    <w:rsid w:val="0011345C"/>
    <w:rsid w:val="00113461"/>
    <w:rsid w:val="00113482"/>
    <w:rsid w:val="00113549"/>
    <w:rsid w:val="00113578"/>
    <w:rsid w:val="001138B9"/>
    <w:rsid w:val="00113B7B"/>
    <w:rsid w:val="0011400A"/>
    <w:rsid w:val="00114241"/>
    <w:rsid w:val="00114394"/>
    <w:rsid w:val="001143B2"/>
    <w:rsid w:val="00114409"/>
    <w:rsid w:val="00114557"/>
    <w:rsid w:val="00114680"/>
    <w:rsid w:val="001146F7"/>
    <w:rsid w:val="0011479A"/>
    <w:rsid w:val="0011485C"/>
    <w:rsid w:val="001148B3"/>
    <w:rsid w:val="00114CA7"/>
    <w:rsid w:val="00114E6A"/>
    <w:rsid w:val="00114E6B"/>
    <w:rsid w:val="00114FB8"/>
    <w:rsid w:val="00115337"/>
    <w:rsid w:val="00115462"/>
    <w:rsid w:val="00115485"/>
    <w:rsid w:val="001154BA"/>
    <w:rsid w:val="001155AC"/>
    <w:rsid w:val="001156CA"/>
    <w:rsid w:val="00115738"/>
    <w:rsid w:val="00115854"/>
    <w:rsid w:val="00115960"/>
    <w:rsid w:val="00115A47"/>
    <w:rsid w:val="00115CFA"/>
    <w:rsid w:val="00115DAF"/>
    <w:rsid w:val="0011638E"/>
    <w:rsid w:val="00116424"/>
    <w:rsid w:val="00116529"/>
    <w:rsid w:val="00116742"/>
    <w:rsid w:val="001168FC"/>
    <w:rsid w:val="0011692F"/>
    <w:rsid w:val="00116996"/>
    <w:rsid w:val="00116B3D"/>
    <w:rsid w:val="00116D11"/>
    <w:rsid w:val="0011721D"/>
    <w:rsid w:val="00117231"/>
    <w:rsid w:val="00117545"/>
    <w:rsid w:val="001175DD"/>
    <w:rsid w:val="001177CD"/>
    <w:rsid w:val="001177F9"/>
    <w:rsid w:val="0011784B"/>
    <w:rsid w:val="0011789D"/>
    <w:rsid w:val="00117919"/>
    <w:rsid w:val="00117B2C"/>
    <w:rsid w:val="00117C27"/>
    <w:rsid w:val="00117C60"/>
    <w:rsid w:val="00117CBA"/>
    <w:rsid w:val="00117D12"/>
    <w:rsid w:val="00117DDA"/>
    <w:rsid w:val="00117E5E"/>
    <w:rsid w:val="00117F92"/>
    <w:rsid w:val="0012004C"/>
    <w:rsid w:val="0012025F"/>
    <w:rsid w:val="0012042D"/>
    <w:rsid w:val="00120790"/>
    <w:rsid w:val="001207BF"/>
    <w:rsid w:val="0012094A"/>
    <w:rsid w:val="001209E0"/>
    <w:rsid w:val="00120ACB"/>
    <w:rsid w:val="00120B22"/>
    <w:rsid w:val="00120EB6"/>
    <w:rsid w:val="00120EBD"/>
    <w:rsid w:val="001212D6"/>
    <w:rsid w:val="001214A5"/>
    <w:rsid w:val="001215B6"/>
    <w:rsid w:val="0012191E"/>
    <w:rsid w:val="00121C05"/>
    <w:rsid w:val="00121CB4"/>
    <w:rsid w:val="00121EF0"/>
    <w:rsid w:val="00121F6F"/>
    <w:rsid w:val="001226D2"/>
    <w:rsid w:val="00122859"/>
    <w:rsid w:val="00122B02"/>
    <w:rsid w:val="00122D0F"/>
    <w:rsid w:val="00122E38"/>
    <w:rsid w:val="0012302B"/>
    <w:rsid w:val="0012323A"/>
    <w:rsid w:val="00123334"/>
    <w:rsid w:val="001233C9"/>
    <w:rsid w:val="0012346A"/>
    <w:rsid w:val="00123526"/>
    <w:rsid w:val="00123665"/>
    <w:rsid w:val="001238A6"/>
    <w:rsid w:val="00123AA8"/>
    <w:rsid w:val="00123B35"/>
    <w:rsid w:val="00123DEA"/>
    <w:rsid w:val="0012431C"/>
    <w:rsid w:val="001248B9"/>
    <w:rsid w:val="001249DD"/>
    <w:rsid w:val="00124E32"/>
    <w:rsid w:val="00124F30"/>
    <w:rsid w:val="00124FCC"/>
    <w:rsid w:val="00125154"/>
    <w:rsid w:val="00125163"/>
    <w:rsid w:val="001252E5"/>
    <w:rsid w:val="001252F3"/>
    <w:rsid w:val="001253A7"/>
    <w:rsid w:val="0012542C"/>
    <w:rsid w:val="00125632"/>
    <w:rsid w:val="001257BA"/>
    <w:rsid w:val="00125838"/>
    <w:rsid w:val="001259DF"/>
    <w:rsid w:val="00125A45"/>
    <w:rsid w:val="00125AE8"/>
    <w:rsid w:val="00125BA4"/>
    <w:rsid w:val="00125F3C"/>
    <w:rsid w:val="00126631"/>
    <w:rsid w:val="0012674A"/>
    <w:rsid w:val="0012699B"/>
    <w:rsid w:val="001269C1"/>
    <w:rsid w:val="00126AA3"/>
    <w:rsid w:val="00126B6F"/>
    <w:rsid w:val="00126BC8"/>
    <w:rsid w:val="00126D64"/>
    <w:rsid w:val="00126FCF"/>
    <w:rsid w:val="001270C7"/>
    <w:rsid w:val="001273D4"/>
    <w:rsid w:val="00127545"/>
    <w:rsid w:val="00127614"/>
    <w:rsid w:val="0012770F"/>
    <w:rsid w:val="0012775B"/>
    <w:rsid w:val="0012787F"/>
    <w:rsid w:val="00127A6E"/>
    <w:rsid w:val="00127B1C"/>
    <w:rsid w:val="00127BAA"/>
    <w:rsid w:val="00127D43"/>
    <w:rsid w:val="00127DAC"/>
    <w:rsid w:val="00127F20"/>
    <w:rsid w:val="00127FE9"/>
    <w:rsid w:val="0013020D"/>
    <w:rsid w:val="00130410"/>
    <w:rsid w:val="00130701"/>
    <w:rsid w:val="001307B4"/>
    <w:rsid w:val="00130B1A"/>
    <w:rsid w:val="00130B8D"/>
    <w:rsid w:val="00130D24"/>
    <w:rsid w:val="00130DD4"/>
    <w:rsid w:val="00130E48"/>
    <w:rsid w:val="0013105F"/>
    <w:rsid w:val="0013115A"/>
    <w:rsid w:val="00131524"/>
    <w:rsid w:val="001315E7"/>
    <w:rsid w:val="00131CAF"/>
    <w:rsid w:val="00131EFF"/>
    <w:rsid w:val="00131F64"/>
    <w:rsid w:val="00131F6E"/>
    <w:rsid w:val="00131FAF"/>
    <w:rsid w:val="001320B0"/>
    <w:rsid w:val="001320E2"/>
    <w:rsid w:val="001324DA"/>
    <w:rsid w:val="001325E4"/>
    <w:rsid w:val="00132670"/>
    <w:rsid w:val="00132692"/>
    <w:rsid w:val="001327FF"/>
    <w:rsid w:val="001328B3"/>
    <w:rsid w:val="00132941"/>
    <w:rsid w:val="00132ADD"/>
    <w:rsid w:val="00132B1D"/>
    <w:rsid w:val="00132B3B"/>
    <w:rsid w:val="00132BC5"/>
    <w:rsid w:val="00132CFB"/>
    <w:rsid w:val="00133074"/>
    <w:rsid w:val="0013350F"/>
    <w:rsid w:val="00133698"/>
    <w:rsid w:val="00133838"/>
    <w:rsid w:val="001338B6"/>
    <w:rsid w:val="0013393C"/>
    <w:rsid w:val="00133B23"/>
    <w:rsid w:val="00133F47"/>
    <w:rsid w:val="0013453C"/>
    <w:rsid w:val="00134606"/>
    <w:rsid w:val="001346F4"/>
    <w:rsid w:val="00134840"/>
    <w:rsid w:val="00134844"/>
    <w:rsid w:val="001348BB"/>
    <w:rsid w:val="00134A4F"/>
    <w:rsid w:val="00134D07"/>
    <w:rsid w:val="00134E3B"/>
    <w:rsid w:val="00134E8D"/>
    <w:rsid w:val="00135292"/>
    <w:rsid w:val="00135376"/>
    <w:rsid w:val="001353C7"/>
    <w:rsid w:val="00135503"/>
    <w:rsid w:val="0013551C"/>
    <w:rsid w:val="00135569"/>
    <w:rsid w:val="00135987"/>
    <w:rsid w:val="001359F7"/>
    <w:rsid w:val="00135A08"/>
    <w:rsid w:val="00135A99"/>
    <w:rsid w:val="00135D2F"/>
    <w:rsid w:val="00135F18"/>
    <w:rsid w:val="00136064"/>
    <w:rsid w:val="001368DA"/>
    <w:rsid w:val="00136E40"/>
    <w:rsid w:val="00136EF2"/>
    <w:rsid w:val="0013712E"/>
    <w:rsid w:val="00137202"/>
    <w:rsid w:val="00137292"/>
    <w:rsid w:val="001373E8"/>
    <w:rsid w:val="0013740A"/>
    <w:rsid w:val="00137532"/>
    <w:rsid w:val="001376E7"/>
    <w:rsid w:val="00137754"/>
    <w:rsid w:val="001377AB"/>
    <w:rsid w:val="00137922"/>
    <w:rsid w:val="00137AB6"/>
    <w:rsid w:val="00137D15"/>
    <w:rsid w:val="00137D9C"/>
    <w:rsid w:val="00137EB8"/>
    <w:rsid w:val="00137EE2"/>
    <w:rsid w:val="0014002F"/>
    <w:rsid w:val="001400F2"/>
    <w:rsid w:val="0014021E"/>
    <w:rsid w:val="00140304"/>
    <w:rsid w:val="0014036F"/>
    <w:rsid w:val="00140769"/>
    <w:rsid w:val="00140AF7"/>
    <w:rsid w:val="00140C6A"/>
    <w:rsid w:val="00140E37"/>
    <w:rsid w:val="001410E1"/>
    <w:rsid w:val="001412B0"/>
    <w:rsid w:val="001413BE"/>
    <w:rsid w:val="00141463"/>
    <w:rsid w:val="001415EC"/>
    <w:rsid w:val="0014173F"/>
    <w:rsid w:val="00141AE2"/>
    <w:rsid w:val="00141B67"/>
    <w:rsid w:val="00141C01"/>
    <w:rsid w:val="00141CB2"/>
    <w:rsid w:val="00141CF9"/>
    <w:rsid w:val="00141DA1"/>
    <w:rsid w:val="00141E7B"/>
    <w:rsid w:val="00141EE6"/>
    <w:rsid w:val="00141F4E"/>
    <w:rsid w:val="00142176"/>
    <w:rsid w:val="00142408"/>
    <w:rsid w:val="00142478"/>
    <w:rsid w:val="001425FB"/>
    <w:rsid w:val="001426B1"/>
    <w:rsid w:val="0014294A"/>
    <w:rsid w:val="00142A10"/>
    <w:rsid w:val="00142B2D"/>
    <w:rsid w:val="00142CC6"/>
    <w:rsid w:val="00142D79"/>
    <w:rsid w:val="00142DBC"/>
    <w:rsid w:val="00142FF9"/>
    <w:rsid w:val="001431CE"/>
    <w:rsid w:val="0014331C"/>
    <w:rsid w:val="001433C9"/>
    <w:rsid w:val="0014373B"/>
    <w:rsid w:val="00143966"/>
    <w:rsid w:val="001439B1"/>
    <w:rsid w:val="00143C61"/>
    <w:rsid w:val="00143CDF"/>
    <w:rsid w:val="00143D3D"/>
    <w:rsid w:val="00143E23"/>
    <w:rsid w:val="00143EE7"/>
    <w:rsid w:val="00143FB6"/>
    <w:rsid w:val="001440EC"/>
    <w:rsid w:val="0014418D"/>
    <w:rsid w:val="00144597"/>
    <w:rsid w:val="001445AE"/>
    <w:rsid w:val="0014481A"/>
    <w:rsid w:val="00144AA4"/>
    <w:rsid w:val="00144DBB"/>
    <w:rsid w:val="00144E61"/>
    <w:rsid w:val="00144ED4"/>
    <w:rsid w:val="001451A8"/>
    <w:rsid w:val="0014529D"/>
    <w:rsid w:val="001452AF"/>
    <w:rsid w:val="001452B9"/>
    <w:rsid w:val="001453C6"/>
    <w:rsid w:val="001453F0"/>
    <w:rsid w:val="001456A1"/>
    <w:rsid w:val="001456F6"/>
    <w:rsid w:val="00145735"/>
    <w:rsid w:val="00145796"/>
    <w:rsid w:val="00145A7F"/>
    <w:rsid w:val="00145B6A"/>
    <w:rsid w:val="00145B91"/>
    <w:rsid w:val="00145B9A"/>
    <w:rsid w:val="00145C03"/>
    <w:rsid w:val="00145D25"/>
    <w:rsid w:val="00145D84"/>
    <w:rsid w:val="00145E56"/>
    <w:rsid w:val="00145E93"/>
    <w:rsid w:val="00145ECB"/>
    <w:rsid w:val="00146011"/>
    <w:rsid w:val="001461B7"/>
    <w:rsid w:val="00146306"/>
    <w:rsid w:val="00146332"/>
    <w:rsid w:val="001463F5"/>
    <w:rsid w:val="001464F2"/>
    <w:rsid w:val="00146815"/>
    <w:rsid w:val="0014688D"/>
    <w:rsid w:val="00146A19"/>
    <w:rsid w:val="00146B16"/>
    <w:rsid w:val="00146CC4"/>
    <w:rsid w:val="001471C8"/>
    <w:rsid w:val="00147252"/>
    <w:rsid w:val="001473AF"/>
    <w:rsid w:val="00147585"/>
    <w:rsid w:val="0014774C"/>
    <w:rsid w:val="001478CD"/>
    <w:rsid w:val="00147C1D"/>
    <w:rsid w:val="00147CF8"/>
    <w:rsid w:val="00147E94"/>
    <w:rsid w:val="00147F74"/>
    <w:rsid w:val="00150018"/>
    <w:rsid w:val="001502D7"/>
    <w:rsid w:val="00150443"/>
    <w:rsid w:val="00150604"/>
    <w:rsid w:val="00150739"/>
    <w:rsid w:val="001507A4"/>
    <w:rsid w:val="001508C6"/>
    <w:rsid w:val="00150CB7"/>
    <w:rsid w:val="00150D65"/>
    <w:rsid w:val="00150D6E"/>
    <w:rsid w:val="00150E73"/>
    <w:rsid w:val="00150EA6"/>
    <w:rsid w:val="00150FD7"/>
    <w:rsid w:val="00150FE6"/>
    <w:rsid w:val="001511A2"/>
    <w:rsid w:val="001511BE"/>
    <w:rsid w:val="00151236"/>
    <w:rsid w:val="001512F8"/>
    <w:rsid w:val="0015149B"/>
    <w:rsid w:val="001515C7"/>
    <w:rsid w:val="00151783"/>
    <w:rsid w:val="001518F4"/>
    <w:rsid w:val="00151A82"/>
    <w:rsid w:val="00151B68"/>
    <w:rsid w:val="00151C1D"/>
    <w:rsid w:val="00151CF3"/>
    <w:rsid w:val="00151E26"/>
    <w:rsid w:val="00151E55"/>
    <w:rsid w:val="00151E5A"/>
    <w:rsid w:val="00151E8B"/>
    <w:rsid w:val="00151F6B"/>
    <w:rsid w:val="00151FFD"/>
    <w:rsid w:val="001521B7"/>
    <w:rsid w:val="00152266"/>
    <w:rsid w:val="001525D4"/>
    <w:rsid w:val="00152688"/>
    <w:rsid w:val="00152794"/>
    <w:rsid w:val="001529C1"/>
    <w:rsid w:val="00152A95"/>
    <w:rsid w:val="00152BC2"/>
    <w:rsid w:val="00152C73"/>
    <w:rsid w:val="00152D4A"/>
    <w:rsid w:val="00152D76"/>
    <w:rsid w:val="00152DC4"/>
    <w:rsid w:val="00152F25"/>
    <w:rsid w:val="0015330A"/>
    <w:rsid w:val="00153350"/>
    <w:rsid w:val="00153679"/>
    <w:rsid w:val="001536A8"/>
    <w:rsid w:val="00153910"/>
    <w:rsid w:val="00153A8D"/>
    <w:rsid w:val="00153B41"/>
    <w:rsid w:val="00154081"/>
    <w:rsid w:val="001540E4"/>
    <w:rsid w:val="001542DD"/>
    <w:rsid w:val="0015430E"/>
    <w:rsid w:val="001543F2"/>
    <w:rsid w:val="00154612"/>
    <w:rsid w:val="00154706"/>
    <w:rsid w:val="0015482C"/>
    <w:rsid w:val="00154A24"/>
    <w:rsid w:val="00154A92"/>
    <w:rsid w:val="00154CEA"/>
    <w:rsid w:val="00155048"/>
    <w:rsid w:val="001550E0"/>
    <w:rsid w:val="00155291"/>
    <w:rsid w:val="0015548B"/>
    <w:rsid w:val="0015553F"/>
    <w:rsid w:val="00155568"/>
    <w:rsid w:val="001556DD"/>
    <w:rsid w:val="00155857"/>
    <w:rsid w:val="00155B0C"/>
    <w:rsid w:val="00155B4F"/>
    <w:rsid w:val="00155C9C"/>
    <w:rsid w:val="00155D76"/>
    <w:rsid w:val="00155D7D"/>
    <w:rsid w:val="00155F6A"/>
    <w:rsid w:val="00155FF4"/>
    <w:rsid w:val="00156295"/>
    <w:rsid w:val="001562FD"/>
    <w:rsid w:val="001564E3"/>
    <w:rsid w:val="00156550"/>
    <w:rsid w:val="00156694"/>
    <w:rsid w:val="0015672B"/>
    <w:rsid w:val="00156991"/>
    <w:rsid w:val="00156E0E"/>
    <w:rsid w:val="001570BD"/>
    <w:rsid w:val="00157325"/>
    <w:rsid w:val="001573AA"/>
    <w:rsid w:val="0015753D"/>
    <w:rsid w:val="001576B2"/>
    <w:rsid w:val="001576BF"/>
    <w:rsid w:val="0015770F"/>
    <w:rsid w:val="00157A15"/>
    <w:rsid w:val="00157B2A"/>
    <w:rsid w:val="00157B8F"/>
    <w:rsid w:val="00157C50"/>
    <w:rsid w:val="00157CB9"/>
    <w:rsid w:val="00157F26"/>
    <w:rsid w:val="00157F65"/>
    <w:rsid w:val="0016020D"/>
    <w:rsid w:val="00160243"/>
    <w:rsid w:val="00160258"/>
    <w:rsid w:val="00160269"/>
    <w:rsid w:val="0016029E"/>
    <w:rsid w:val="00160369"/>
    <w:rsid w:val="0016043C"/>
    <w:rsid w:val="0016047C"/>
    <w:rsid w:val="001605CA"/>
    <w:rsid w:val="00160692"/>
    <w:rsid w:val="0016074B"/>
    <w:rsid w:val="00160779"/>
    <w:rsid w:val="0016089A"/>
    <w:rsid w:val="00160943"/>
    <w:rsid w:val="00160A14"/>
    <w:rsid w:val="00160A8C"/>
    <w:rsid w:val="00160AE1"/>
    <w:rsid w:val="00160CF0"/>
    <w:rsid w:val="00161003"/>
    <w:rsid w:val="00161016"/>
    <w:rsid w:val="00161131"/>
    <w:rsid w:val="0016146A"/>
    <w:rsid w:val="001614D2"/>
    <w:rsid w:val="00161506"/>
    <w:rsid w:val="001616A5"/>
    <w:rsid w:val="001616F5"/>
    <w:rsid w:val="0016173F"/>
    <w:rsid w:val="00161857"/>
    <w:rsid w:val="00161935"/>
    <w:rsid w:val="001619DA"/>
    <w:rsid w:val="00161A6C"/>
    <w:rsid w:val="00161DA0"/>
    <w:rsid w:val="00161DD1"/>
    <w:rsid w:val="00161E1D"/>
    <w:rsid w:val="00161E28"/>
    <w:rsid w:val="00161FB9"/>
    <w:rsid w:val="00162164"/>
    <w:rsid w:val="0016230F"/>
    <w:rsid w:val="00162459"/>
    <w:rsid w:val="001624CD"/>
    <w:rsid w:val="0016256E"/>
    <w:rsid w:val="00162794"/>
    <w:rsid w:val="0016298E"/>
    <w:rsid w:val="001629CB"/>
    <w:rsid w:val="001629F8"/>
    <w:rsid w:val="00162A84"/>
    <w:rsid w:val="00162B1F"/>
    <w:rsid w:val="00162D4A"/>
    <w:rsid w:val="0016304A"/>
    <w:rsid w:val="00163113"/>
    <w:rsid w:val="001631EA"/>
    <w:rsid w:val="00163309"/>
    <w:rsid w:val="0016333A"/>
    <w:rsid w:val="001636F7"/>
    <w:rsid w:val="00163784"/>
    <w:rsid w:val="00163A42"/>
    <w:rsid w:val="00163CCE"/>
    <w:rsid w:val="00163CDF"/>
    <w:rsid w:val="00163E2B"/>
    <w:rsid w:val="0016400C"/>
    <w:rsid w:val="00164229"/>
    <w:rsid w:val="00164495"/>
    <w:rsid w:val="00164513"/>
    <w:rsid w:val="0016456B"/>
    <w:rsid w:val="0016491F"/>
    <w:rsid w:val="00164A32"/>
    <w:rsid w:val="00164A64"/>
    <w:rsid w:val="00164B05"/>
    <w:rsid w:val="00164C7E"/>
    <w:rsid w:val="00164D78"/>
    <w:rsid w:val="001651E0"/>
    <w:rsid w:val="0016528A"/>
    <w:rsid w:val="001652DE"/>
    <w:rsid w:val="001656A8"/>
    <w:rsid w:val="0016579D"/>
    <w:rsid w:val="00165995"/>
    <w:rsid w:val="00165A2C"/>
    <w:rsid w:val="00165A55"/>
    <w:rsid w:val="00165A82"/>
    <w:rsid w:val="00165AAA"/>
    <w:rsid w:val="00165B16"/>
    <w:rsid w:val="00165D63"/>
    <w:rsid w:val="00165E36"/>
    <w:rsid w:val="00165E41"/>
    <w:rsid w:val="0016609A"/>
    <w:rsid w:val="00166335"/>
    <w:rsid w:val="00166398"/>
    <w:rsid w:val="00166567"/>
    <w:rsid w:val="00166643"/>
    <w:rsid w:val="00166698"/>
    <w:rsid w:val="001666AA"/>
    <w:rsid w:val="001667A0"/>
    <w:rsid w:val="00166B4B"/>
    <w:rsid w:val="00166C2B"/>
    <w:rsid w:val="00166F24"/>
    <w:rsid w:val="00166F39"/>
    <w:rsid w:val="00167097"/>
    <w:rsid w:val="001671D1"/>
    <w:rsid w:val="00167316"/>
    <w:rsid w:val="00167348"/>
    <w:rsid w:val="00167370"/>
    <w:rsid w:val="0016791E"/>
    <w:rsid w:val="00167AB3"/>
    <w:rsid w:val="00167CB3"/>
    <w:rsid w:val="00167CCE"/>
    <w:rsid w:val="00167FE3"/>
    <w:rsid w:val="001700B2"/>
    <w:rsid w:val="001700C0"/>
    <w:rsid w:val="0017039A"/>
    <w:rsid w:val="001703A4"/>
    <w:rsid w:val="001703E5"/>
    <w:rsid w:val="001703F4"/>
    <w:rsid w:val="00170436"/>
    <w:rsid w:val="0017059A"/>
    <w:rsid w:val="001705F9"/>
    <w:rsid w:val="0017070D"/>
    <w:rsid w:val="00170817"/>
    <w:rsid w:val="001709C1"/>
    <w:rsid w:val="00170AEC"/>
    <w:rsid w:val="00170E12"/>
    <w:rsid w:val="00170F40"/>
    <w:rsid w:val="00171034"/>
    <w:rsid w:val="001714CC"/>
    <w:rsid w:val="00171512"/>
    <w:rsid w:val="001715B4"/>
    <w:rsid w:val="001715D5"/>
    <w:rsid w:val="0017195A"/>
    <w:rsid w:val="00171BCD"/>
    <w:rsid w:val="00171C5F"/>
    <w:rsid w:val="00171CE5"/>
    <w:rsid w:val="00171F0A"/>
    <w:rsid w:val="00171F16"/>
    <w:rsid w:val="00171F6E"/>
    <w:rsid w:val="00171FA1"/>
    <w:rsid w:val="0017201B"/>
    <w:rsid w:val="0017219A"/>
    <w:rsid w:val="001721F8"/>
    <w:rsid w:val="00172370"/>
    <w:rsid w:val="00172464"/>
    <w:rsid w:val="00172489"/>
    <w:rsid w:val="001724F4"/>
    <w:rsid w:val="001726A0"/>
    <w:rsid w:val="001728DB"/>
    <w:rsid w:val="00172B1D"/>
    <w:rsid w:val="00172B8F"/>
    <w:rsid w:val="00172BF9"/>
    <w:rsid w:val="00172D9A"/>
    <w:rsid w:val="00172DC2"/>
    <w:rsid w:val="00172E9E"/>
    <w:rsid w:val="00172EC6"/>
    <w:rsid w:val="00172F5B"/>
    <w:rsid w:val="00172F79"/>
    <w:rsid w:val="00173156"/>
    <w:rsid w:val="00173206"/>
    <w:rsid w:val="00173373"/>
    <w:rsid w:val="0017337E"/>
    <w:rsid w:val="0017355A"/>
    <w:rsid w:val="0017371E"/>
    <w:rsid w:val="0017384E"/>
    <w:rsid w:val="00173CEB"/>
    <w:rsid w:val="00173D27"/>
    <w:rsid w:val="00173DA9"/>
    <w:rsid w:val="00173DDE"/>
    <w:rsid w:val="00173ECD"/>
    <w:rsid w:val="0017414A"/>
    <w:rsid w:val="001748DD"/>
    <w:rsid w:val="00174903"/>
    <w:rsid w:val="00174984"/>
    <w:rsid w:val="00174ABD"/>
    <w:rsid w:val="00174D46"/>
    <w:rsid w:val="00174D49"/>
    <w:rsid w:val="00174F94"/>
    <w:rsid w:val="00174FAD"/>
    <w:rsid w:val="001753EB"/>
    <w:rsid w:val="001759AE"/>
    <w:rsid w:val="001759EE"/>
    <w:rsid w:val="00175B9B"/>
    <w:rsid w:val="00175BDE"/>
    <w:rsid w:val="00175BF0"/>
    <w:rsid w:val="00175C6A"/>
    <w:rsid w:val="00175CAB"/>
    <w:rsid w:val="00175CF6"/>
    <w:rsid w:val="00175D12"/>
    <w:rsid w:val="00175D64"/>
    <w:rsid w:val="00175E3D"/>
    <w:rsid w:val="00175F5F"/>
    <w:rsid w:val="00176096"/>
    <w:rsid w:val="001760DC"/>
    <w:rsid w:val="00176100"/>
    <w:rsid w:val="0017622C"/>
    <w:rsid w:val="001765DF"/>
    <w:rsid w:val="00176713"/>
    <w:rsid w:val="001768EC"/>
    <w:rsid w:val="00176A9A"/>
    <w:rsid w:val="00176BCC"/>
    <w:rsid w:val="00176D5C"/>
    <w:rsid w:val="00176F23"/>
    <w:rsid w:val="0017737A"/>
    <w:rsid w:val="001773BD"/>
    <w:rsid w:val="00177456"/>
    <w:rsid w:val="00177519"/>
    <w:rsid w:val="00177783"/>
    <w:rsid w:val="001778D8"/>
    <w:rsid w:val="001779FA"/>
    <w:rsid w:val="00177C81"/>
    <w:rsid w:val="00177C9B"/>
    <w:rsid w:val="00177E0D"/>
    <w:rsid w:val="00177E44"/>
    <w:rsid w:val="00177EBD"/>
    <w:rsid w:val="001803EA"/>
    <w:rsid w:val="0018046F"/>
    <w:rsid w:val="001805E9"/>
    <w:rsid w:val="0018067F"/>
    <w:rsid w:val="001806B3"/>
    <w:rsid w:val="0018090B"/>
    <w:rsid w:val="00180933"/>
    <w:rsid w:val="00180CAF"/>
    <w:rsid w:val="00180E68"/>
    <w:rsid w:val="00181064"/>
    <w:rsid w:val="001810C5"/>
    <w:rsid w:val="00181207"/>
    <w:rsid w:val="00181337"/>
    <w:rsid w:val="001814FE"/>
    <w:rsid w:val="00181740"/>
    <w:rsid w:val="0018174B"/>
    <w:rsid w:val="001818B8"/>
    <w:rsid w:val="00181970"/>
    <w:rsid w:val="00181B64"/>
    <w:rsid w:val="00181BC1"/>
    <w:rsid w:val="00181C0B"/>
    <w:rsid w:val="00181CF3"/>
    <w:rsid w:val="00181E58"/>
    <w:rsid w:val="00181EAE"/>
    <w:rsid w:val="00181EC8"/>
    <w:rsid w:val="00181F06"/>
    <w:rsid w:val="0018238C"/>
    <w:rsid w:val="0018247C"/>
    <w:rsid w:val="001826E3"/>
    <w:rsid w:val="00182770"/>
    <w:rsid w:val="00182AC6"/>
    <w:rsid w:val="00182B76"/>
    <w:rsid w:val="00182C35"/>
    <w:rsid w:val="00182C87"/>
    <w:rsid w:val="00182E27"/>
    <w:rsid w:val="00183077"/>
    <w:rsid w:val="0018313D"/>
    <w:rsid w:val="001831CB"/>
    <w:rsid w:val="00183255"/>
    <w:rsid w:val="001832F5"/>
    <w:rsid w:val="001833E5"/>
    <w:rsid w:val="0018368A"/>
    <w:rsid w:val="00183AD7"/>
    <w:rsid w:val="00183B20"/>
    <w:rsid w:val="00183C8D"/>
    <w:rsid w:val="00183DA8"/>
    <w:rsid w:val="00183DC9"/>
    <w:rsid w:val="00183F10"/>
    <w:rsid w:val="00183FC2"/>
    <w:rsid w:val="0018424A"/>
    <w:rsid w:val="00184417"/>
    <w:rsid w:val="001844BC"/>
    <w:rsid w:val="00184655"/>
    <w:rsid w:val="00184666"/>
    <w:rsid w:val="001846A6"/>
    <w:rsid w:val="0018471B"/>
    <w:rsid w:val="001847C8"/>
    <w:rsid w:val="00184A27"/>
    <w:rsid w:val="00184C41"/>
    <w:rsid w:val="00184C73"/>
    <w:rsid w:val="00184D5E"/>
    <w:rsid w:val="00184E2D"/>
    <w:rsid w:val="0018500E"/>
    <w:rsid w:val="001850B7"/>
    <w:rsid w:val="0018514C"/>
    <w:rsid w:val="0018524D"/>
    <w:rsid w:val="001858BF"/>
    <w:rsid w:val="00185C03"/>
    <w:rsid w:val="00185E83"/>
    <w:rsid w:val="00186077"/>
    <w:rsid w:val="001860F3"/>
    <w:rsid w:val="00186153"/>
    <w:rsid w:val="00186167"/>
    <w:rsid w:val="0018634C"/>
    <w:rsid w:val="0018654F"/>
    <w:rsid w:val="001865D3"/>
    <w:rsid w:val="00186626"/>
    <w:rsid w:val="001866A5"/>
    <w:rsid w:val="001866E2"/>
    <w:rsid w:val="001867E9"/>
    <w:rsid w:val="00186AF5"/>
    <w:rsid w:val="00186B68"/>
    <w:rsid w:val="00186D31"/>
    <w:rsid w:val="00186FCC"/>
    <w:rsid w:val="00186FED"/>
    <w:rsid w:val="00187413"/>
    <w:rsid w:val="001874D0"/>
    <w:rsid w:val="00187955"/>
    <w:rsid w:val="00187959"/>
    <w:rsid w:val="00187A3B"/>
    <w:rsid w:val="00187A85"/>
    <w:rsid w:val="00187AC4"/>
    <w:rsid w:val="00187B0D"/>
    <w:rsid w:val="00187EB7"/>
    <w:rsid w:val="00190210"/>
    <w:rsid w:val="00190519"/>
    <w:rsid w:val="00190542"/>
    <w:rsid w:val="001905D2"/>
    <w:rsid w:val="001905E6"/>
    <w:rsid w:val="001906D5"/>
    <w:rsid w:val="001907E4"/>
    <w:rsid w:val="00190AE1"/>
    <w:rsid w:val="00190B45"/>
    <w:rsid w:val="00190FF6"/>
    <w:rsid w:val="001911BF"/>
    <w:rsid w:val="00191499"/>
    <w:rsid w:val="001914E6"/>
    <w:rsid w:val="001915E4"/>
    <w:rsid w:val="00191A0C"/>
    <w:rsid w:val="00191BDA"/>
    <w:rsid w:val="00191C05"/>
    <w:rsid w:val="00191CF4"/>
    <w:rsid w:val="00191E98"/>
    <w:rsid w:val="00191F30"/>
    <w:rsid w:val="00191F3D"/>
    <w:rsid w:val="00192069"/>
    <w:rsid w:val="001921EE"/>
    <w:rsid w:val="001924D5"/>
    <w:rsid w:val="00192582"/>
    <w:rsid w:val="00192795"/>
    <w:rsid w:val="00192A4C"/>
    <w:rsid w:val="00192BE3"/>
    <w:rsid w:val="00192C17"/>
    <w:rsid w:val="00192DC7"/>
    <w:rsid w:val="00192FB1"/>
    <w:rsid w:val="00193541"/>
    <w:rsid w:val="001937B4"/>
    <w:rsid w:val="00193814"/>
    <w:rsid w:val="00193C7B"/>
    <w:rsid w:val="00193C84"/>
    <w:rsid w:val="00193EDD"/>
    <w:rsid w:val="0019412E"/>
    <w:rsid w:val="001941D1"/>
    <w:rsid w:val="001941EF"/>
    <w:rsid w:val="0019423A"/>
    <w:rsid w:val="00194350"/>
    <w:rsid w:val="00194546"/>
    <w:rsid w:val="001945F6"/>
    <w:rsid w:val="00194605"/>
    <w:rsid w:val="001947AD"/>
    <w:rsid w:val="00194854"/>
    <w:rsid w:val="001948DE"/>
    <w:rsid w:val="001949A8"/>
    <w:rsid w:val="00194C8B"/>
    <w:rsid w:val="00194D30"/>
    <w:rsid w:val="00194E38"/>
    <w:rsid w:val="00194F48"/>
    <w:rsid w:val="00194F84"/>
    <w:rsid w:val="00194F9E"/>
    <w:rsid w:val="00195007"/>
    <w:rsid w:val="001956F7"/>
    <w:rsid w:val="001956FB"/>
    <w:rsid w:val="00195772"/>
    <w:rsid w:val="00195844"/>
    <w:rsid w:val="00195B45"/>
    <w:rsid w:val="00195B98"/>
    <w:rsid w:val="00195C1B"/>
    <w:rsid w:val="00195CB4"/>
    <w:rsid w:val="00195E9D"/>
    <w:rsid w:val="001962A4"/>
    <w:rsid w:val="00196300"/>
    <w:rsid w:val="0019637D"/>
    <w:rsid w:val="0019642F"/>
    <w:rsid w:val="001964C4"/>
    <w:rsid w:val="0019652C"/>
    <w:rsid w:val="001965D8"/>
    <w:rsid w:val="001965DD"/>
    <w:rsid w:val="001966FF"/>
    <w:rsid w:val="00196737"/>
    <w:rsid w:val="001967C3"/>
    <w:rsid w:val="0019688E"/>
    <w:rsid w:val="00196D25"/>
    <w:rsid w:val="00196EB9"/>
    <w:rsid w:val="0019712B"/>
    <w:rsid w:val="0019715E"/>
    <w:rsid w:val="001972A4"/>
    <w:rsid w:val="0019748C"/>
    <w:rsid w:val="00197575"/>
    <w:rsid w:val="0019779D"/>
    <w:rsid w:val="001978AF"/>
    <w:rsid w:val="00197958"/>
    <w:rsid w:val="00197D5C"/>
    <w:rsid w:val="00197D75"/>
    <w:rsid w:val="00197E9B"/>
    <w:rsid w:val="00197FD2"/>
    <w:rsid w:val="001A010C"/>
    <w:rsid w:val="001A0375"/>
    <w:rsid w:val="001A0662"/>
    <w:rsid w:val="001A077F"/>
    <w:rsid w:val="001A08B7"/>
    <w:rsid w:val="001A0A27"/>
    <w:rsid w:val="001A0B31"/>
    <w:rsid w:val="001A0BF6"/>
    <w:rsid w:val="001A0DF7"/>
    <w:rsid w:val="001A0F7F"/>
    <w:rsid w:val="001A1039"/>
    <w:rsid w:val="001A1102"/>
    <w:rsid w:val="001A11E4"/>
    <w:rsid w:val="001A1217"/>
    <w:rsid w:val="001A1236"/>
    <w:rsid w:val="001A1B17"/>
    <w:rsid w:val="001A1C27"/>
    <w:rsid w:val="001A1E74"/>
    <w:rsid w:val="001A1ED3"/>
    <w:rsid w:val="001A22FE"/>
    <w:rsid w:val="001A23FB"/>
    <w:rsid w:val="001A2403"/>
    <w:rsid w:val="001A24DB"/>
    <w:rsid w:val="001A2806"/>
    <w:rsid w:val="001A280D"/>
    <w:rsid w:val="001A294D"/>
    <w:rsid w:val="001A2A09"/>
    <w:rsid w:val="001A2A74"/>
    <w:rsid w:val="001A2B22"/>
    <w:rsid w:val="001A2D24"/>
    <w:rsid w:val="001A2E1E"/>
    <w:rsid w:val="001A3086"/>
    <w:rsid w:val="001A32CB"/>
    <w:rsid w:val="001A34A1"/>
    <w:rsid w:val="001A35C1"/>
    <w:rsid w:val="001A376A"/>
    <w:rsid w:val="001A3B48"/>
    <w:rsid w:val="001A3D6E"/>
    <w:rsid w:val="001A3DAE"/>
    <w:rsid w:val="001A3E79"/>
    <w:rsid w:val="001A4111"/>
    <w:rsid w:val="001A42BE"/>
    <w:rsid w:val="001A4413"/>
    <w:rsid w:val="001A44AF"/>
    <w:rsid w:val="001A4638"/>
    <w:rsid w:val="001A47AE"/>
    <w:rsid w:val="001A4A6B"/>
    <w:rsid w:val="001A4B40"/>
    <w:rsid w:val="001A4CDF"/>
    <w:rsid w:val="001A4D54"/>
    <w:rsid w:val="001A4DB3"/>
    <w:rsid w:val="001A4DD4"/>
    <w:rsid w:val="001A4E1A"/>
    <w:rsid w:val="001A5002"/>
    <w:rsid w:val="001A5055"/>
    <w:rsid w:val="001A516E"/>
    <w:rsid w:val="001A51CA"/>
    <w:rsid w:val="001A51F4"/>
    <w:rsid w:val="001A5263"/>
    <w:rsid w:val="001A535E"/>
    <w:rsid w:val="001A5551"/>
    <w:rsid w:val="001A555D"/>
    <w:rsid w:val="001A55BB"/>
    <w:rsid w:val="001A55FB"/>
    <w:rsid w:val="001A5639"/>
    <w:rsid w:val="001A578B"/>
    <w:rsid w:val="001A57E8"/>
    <w:rsid w:val="001A58FB"/>
    <w:rsid w:val="001A5940"/>
    <w:rsid w:val="001A599E"/>
    <w:rsid w:val="001A59B8"/>
    <w:rsid w:val="001A5A4F"/>
    <w:rsid w:val="001A5B14"/>
    <w:rsid w:val="001A5C53"/>
    <w:rsid w:val="001A5CDF"/>
    <w:rsid w:val="001A5CE6"/>
    <w:rsid w:val="001A5CEB"/>
    <w:rsid w:val="001A5DEE"/>
    <w:rsid w:val="001A5F91"/>
    <w:rsid w:val="001A6070"/>
    <w:rsid w:val="001A6155"/>
    <w:rsid w:val="001A6183"/>
    <w:rsid w:val="001A61B3"/>
    <w:rsid w:val="001A62B1"/>
    <w:rsid w:val="001A643A"/>
    <w:rsid w:val="001A6576"/>
    <w:rsid w:val="001A65CB"/>
    <w:rsid w:val="001A664C"/>
    <w:rsid w:val="001A6745"/>
    <w:rsid w:val="001A68E1"/>
    <w:rsid w:val="001A6A27"/>
    <w:rsid w:val="001A6B30"/>
    <w:rsid w:val="001A6DE9"/>
    <w:rsid w:val="001A6F8A"/>
    <w:rsid w:val="001A6FC0"/>
    <w:rsid w:val="001A710D"/>
    <w:rsid w:val="001A73C3"/>
    <w:rsid w:val="001A73CD"/>
    <w:rsid w:val="001A743A"/>
    <w:rsid w:val="001A761C"/>
    <w:rsid w:val="001A7684"/>
    <w:rsid w:val="001A77D1"/>
    <w:rsid w:val="001A79DA"/>
    <w:rsid w:val="001A7BCF"/>
    <w:rsid w:val="001A7C5F"/>
    <w:rsid w:val="001A7CC1"/>
    <w:rsid w:val="001A7DC7"/>
    <w:rsid w:val="001A7E73"/>
    <w:rsid w:val="001B0072"/>
    <w:rsid w:val="001B01B7"/>
    <w:rsid w:val="001B0254"/>
    <w:rsid w:val="001B026B"/>
    <w:rsid w:val="001B02BB"/>
    <w:rsid w:val="001B036B"/>
    <w:rsid w:val="001B03AF"/>
    <w:rsid w:val="001B0549"/>
    <w:rsid w:val="001B0557"/>
    <w:rsid w:val="001B0757"/>
    <w:rsid w:val="001B0A89"/>
    <w:rsid w:val="001B0C64"/>
    <w:rsid w:val="001B0CD2"/>
    <w:rsid w:val="001B0E1B"/>
    <w:rsid w:val="001B0F91"/>
    <w:rsid w:val="001B1567"/>
    <w:rsid w:val="001B1738"/>
    <w:rsid w:val="001B18EE"/>
    <w:rsid w:val="001B19A0"/>
    <w:rsid w:val="001B19C2"/>
    <w:rsid w:val="001B1BE5"/>
    <w:rsid w:val="001B1CC0"/>
    <w:rsid w:val="001B1D0D"/>
    <w:rsid w:val="001B2228"/>
    <w:rsid w:val="001B2281"/>
    <w:rsid w:val="001B228F"/>
    <w:rsid w:val="001B22D7"/>
    <w:rsid w:val="001B257C"/>
    <w:rsid w:val="001B2671"/>
    <w:rsid w:val="001B269B"/>
    <w:rsid w:val="001B27AB"/>
    <w:rsid w:val="001B27B3"/>
    <w:rsid w:val="001B2A4B"/>
    <w:rsid w:val="001B2BA5"/>
    <w:rsid w:val="001B2C16"/>
    <w:rsid w:val="001B2E93"/>
    <w:rsid w:val="001B2EA5"/>
    <w:rsid w:val="001B2FF0"/>
    <w:rsid w:val="001B3007"/>
    <w:rsid w:val="001B3280"/>
    <w:rsid w:val="001B336E"/>
    <w:rsid w:val="001B3371"/>
    <w:rsid w:val="001B337F"/>
    <w:rsid w:val="001B399C"/>
    <w:rsid w:val="001B39EA"/>
    <w:rsid w:val="001B3A97"/>
    <w:rsid w:val="001B3FC5"/>
    <w:rsid w:val="001B3FE2"/>
    <w:rsid w:val="001B4105"/>
    <w:rsid w:val="001B41CD"/>
    <w:rsid w:val="001B41D1"/>
    <w:rsid w:val="001B4227"/>
    <w:rsid w:val="001B4277"/>
    <w:rsid w:val="001B432E"/>
    <w:rsid w:val="001B43B5"/>
    <w:rsid w:val="001B49C6"/>
    <w:rsid w:val="001B4BC0"/>
    <w:rsid w:val="001B4C92"/>
    <w:rsid w:val="001B4EC7"/>
    <w:rsid w:val="001B4F24"/>
    <w:rsid w:val="001B5256"/>
    <w:rsid w:val="001B5279"/>
    <w:rsid w:val="001B52DE"/>
    <w:rsid w:val="001B550D"/>
    <w:rsid w:val="001B57F5"/>
    <w:rsid w:val="001B5998"/>
    <w:rsid w:val="001B5A97"/>
    <w:rsid w:val="001B5B97"/>
    <w:rsid w:val="001B5C01"/>
    <w:rsid w:val="001B5DA0"/>
    <w:rsid w:val="001B5DC1"/>
    <w:rsid w:val="001B5E01"/>
    <w:rsid w:val="001B6100"/>
    <w:rsid w:val="001B656B"/>
    <w:rsid w:val="001B6585"/>
    <w:rsid w:val="001B6790"/>
    <w:rsid w:val="001B6AE3"/>
    <w:rsid w:val="001B6CE6"/>
    <w:rsid w:val="001B6D18"/>
    <w:rsid w:val="001B6E20"/>
    <w:rsid w:val="001B6E65"/>
    <w:rsid w:val="001B724F"/>
    <w:rsid w:val="001B74CF"/>
    <w:rsid w:val="001B7897"/>
    <w:rsid w:val="001B78DF"/>
    <w:rsid w:val="001B79A5"/>
    <w:rsid w:val="001B7A11"/>
    <w:rsid w:val="001B7BB3"/>
    <w:rsid w:val="001B7BE4"/>
    <w:rsid w:val="001B7C29"/>
    <w:rsid w:val="001B7C8C"/>
    <w:rsid w:val="001B7CA4"/>
    <w:rsid w:val="001C002E"/>
    <w:rsid w:val="001C0287"/>
    <w:rsid w:val="001C096A"/>
    <w:rsid w:val="001C0CBC"/>
    <w:rsid w:val="001C0FAE"/>
    <w:rsid w:val="001C1266"/>
    <w:rsid w:val="001C12E7"/>
    <w:rsid w:val="001C12F5"/>
    <w:rsid w:val="001C1316"/>
    <w:rsid w:val="001C13E1"/>
    <w:rsid w:val="001C1434"/>
    <w:rsid w:val="001C1716"/>
    <w:rsid w:val="001C181D"/>
    <w:rsid w:val="001C1949"/>
    <w:rsid w:val="001C1CA0"/>
    <w:rsid w:val="001C1DE0"/>
    <w:rsid w:val="001C1E22"/>
    <w:rsid w:val="001C1EAB"/>
    <w:rsid w:val="001C1F0D"/>
    <w:rsid w:val="001C2183"/>
    <w:rsid w:val="001C2226"/>
    <w:rsid w:val="001C2386"/>
    <w:rsid w:val="001C25EC"/>
    <w:rsid w:val="001C2619"/>
    <w:rsid w:val="001C2844"/>
    <w:rsid w:val="001C2855"/>
    <w:rsid w:val="001C28E7"/>
    <w:rsid w:val="001C2AAC"/>
    <w:rsid w:val="001C2BE6"/>
    <w:rsid w:val="001C2CA2"/>
    <w:rsid w:val="001C2E5D"/>
    <w:rsid w:val="001C2EB7"/>
    <w:rsid w:val="001C33F5"/>
    <w:rsid w:val="001C35DC"/>
    <w:rsid w:val="001C3696"/>
    <w:rsid w:val="001C3701"/>
    <w:rsid w:val="001C37E4"/>
    <w:rsid w:val="001C37FA"/>
    <w:rsid w:val="001C383A"/>
    <w:rsid w:val="001C39F6"/>
    <w:rsid w:val="001C3C6D"/>
    <w:rsid w:val="001C3CF3"/>
    <w:rsid w:val="001C3DA6"/>
    <w:rsid w:val="001C3E95"/>
    <w:rsid w:val="001C3E97"/>
    <w:rsid w:val="001C3FDC"/>
    <w:rsid w:val="001C4157"/>
    <w:rsid w:val="001C4217"/>
    <w:rsid w:val="001C430F"/>
    <w:rsid w:val="001C4312"/>
    <w:rsid w:val="001C43DC"/>
    <w:rsid w:val="001C44A1"/>
    <w:rsid w:val="001C4866"/>
    <w:rsid w:val="001C48E7"/>
    <w:rsid w:val="001C4B43"/>
    <w:rsid w:val="001C4C1D"/>
    <w:rsid w:val="001C4CCC"/>
    <w:rsid w:val="001C4E1F"/>
    <w:rsid w:val="001C4E79"/>
    <w:rsid w:val="001C4E7C"/>
    <w:rsid w:val="001C51E6"/>
    <w:rsid w:val="001C5334"/>
    <w:rsid w:val="001C5337"/>
    <w:rsid w:val="001C537D"/>
    <w:rsid w:val="001C53E9"/>
    <w:rsid w:val="001C55C9"/>
    <w:rsid w:val="001C57A2"/>
    <w:rsid w:val="001C5823"/>
    <w:rsid w:val="001C5875"/>
    <w:rsid w:val="001C5BB2"/>
    <w:rsid w:val="001C5BC8"/>
    <w:rsid w:val="001C5C9E"/>
    <w:rsid w:val="001C5D35"/>
    <w:rsid w:val="001C5ED2"/>
    <w:rsid w:val="001C5ED4"/>
    <w:rsid w:val="001C5EDF"/>
    <w:rsid w:val="001C5F44"/>
    <w:rsid w:val="001C5F4D"/>
    <w:rsid w:val="001C607C"/>
    <w:rsid w:val="001C6111"/>
    <w:rsid w:val="001C6228"/>
    <w:rsid w:val="001C6283"/>
    <w:rsid w:val="001C6330"/>
    <w:rsid w:val="001C64C7"/>
    <w:rsid w:val="001C668F"/>
    <w:rsid w:val="001C67A4"/>
    <w:rsid w:val="001C68A3"/>
    <w:rsid w:val="001C69F3"/>
    <w:rsid w:val="001C6A80"/>
    <w:rsid w:val="001C6A9A"/>
    <w:rsid w:val="001C6DE2"/>
    <w:rsid w:val="001C6FC7"/>
    <w:rsid w:val="001C70E4"/>
    <w:rsid w:val="001C713E"/>
    <w:rsid w:val="001C722B"/>
    <w:rsid w:val="001C73C7"/>
    <w:rsid w:val="001C7963"/>
    <w:rsid w:val="001C796C"/>
    <w:rsid w:val="001C7A2E"/>
    <w:rsid w:val="001C7BF3"/>
    <w:rsid w:val="001C7C87"/>
    <w:rsid w:val="001C7EDE"/>
    <w:rsid w:val="001C7FEB"/>
    <w:rsid w:val="001D01D6"/>
    <w:rsid w:val="001D028E"/>
    <w:rsid w:val="001D0481"/>
    <w:rsid w:val="001D0688"/>
    <w:rsid w:val="001D06F7"/>
    <w:rsid w:val="001D0B55"/>
    <w:rsid w:val="001D0D92"/>
    <w:rsid w:val="001D1205"/>
    <w:rsid w:val="001D1208"/>
    <w:rsid w:val="001D12D3"/>
    <w:rsid w:val="001D13F1"/>
    <w:rsid w:val="001D150F"/>
    <w:rsid w:val="001D1516"/>
    <w:rsid w:val="001D1795"/>
    <w:rsid w:val="001D17F8"/>
    <w:rsid w:val="001D18CA"/>
    <w:rsid w:val="001D18F7"/>
    <w:rsid w:val="001D1946"/>
    <w:rsid w:val="001D1B3D"/>
    <w:rsid w:val="001D1BB9"/>
    <w:rsid w:val="001D1DB9"/>
    <w:rsid w:val="001D1E04"/>
    <w:rsid w:val="001D203C"/>
    <w:rsid w:val="001D21AB"/>
    <w:rsid w:val="001D2227"/>
    <w:rsid w:val="001D2331"/>
    <w:rsid w:val="001D2408"/>
    <w:rsid w:val="001D2558"/>
    <w:rsid w:val="001D2573"/>
    <w:rsid w:val="001D25AD"/>
    <w:rsid w:val="001D2669"/>
    <w:rsid w:val="001D2AE6"/>
    <w:rsid w:val="001D2B5D"/>
    <w:rsid w:val="001D2E37"/>
    <w:rsid w:val="001D2EB9"/>
    <w:rsid w:val="001D3047"/>
    <w:rsid w:val="001D3190"/>
    <w:rsid w:val="001D32E6"/>
    <w:rsid w:val="001D3335"/>
    <w:rsid w:val="001D34CC"/>
    <w:rsid w:val="001D350A"/>
    <w:rsid w:val="001D3A66"/>
    <w:rsid w:val="001D3C14"/>
    <w:rsid w:val="001D3D71"/>
    <w:rsid w:val="001D3ED2"/>
    <w:rsid w:val="001D3EE8"/>
    <w:rsid w:val="001D3FAE"/>
    <w:rsid w:val="001D4278"/>
    <w:rsid w:val="001D4442"/>
    <w:rsid w:val="001D461C"/>
    <w:rsid w:val="001D4914"/>
    <w:rsid w:val="001D4922"/>
    <w:rsid w:val="001D4ABF"/>
    <w:rsid w:val="001D4AF3"/>
    <w:rsid w:val="001D4BC1"/>
    <w:rsid w:val="001D4D99"/>
    <w:rsid w:val="001D4E7B"/>
    <w:rsid w:val="001D4FB8"/>
    <w:rsid w:val="001D531A"/>
    <w:rsid w:val="001D53DB"/>
    <w:rsid w:val="001D5446"/>
    <w:rsid w:val="001D548A"/>
    <w:rsid w:val="001D556E"/>
    <w:rsid w:val="001D55A3"/>
    <w:rsid w:val="001D5622"/>
    <w:rsid w:val="001D5724"/>
    <w:rsid w:val="001D5876"/>
    <w:rsid w:val="001D58F7"/>
    <w:rsid w:val="001D5C10"/>
    <w:rsid w:val="001D5CDF"/>
    <w:rsid w:val="001D5D7E"/>
    <w:rsid w:val="001D5E22"/>
    <w:rsid w:val="001D5EAE"/>
    <w:rsid w:val="001D6156"/>
    <w:rsid w:val="001D625C"/>
    <w:rsid w:val="001D6278"/>
    <w:rsid w:val="001D6619"/>
    <w:rsid w:val="001D66AA"/>
    <w:rsid w:val="001D685B"/>
    <w:rsid w:val="001D6888"/>
    <w:rsid w:val="001D689C"/>
    <w:rsid w:val="001D69AC"/>
    <w:rsid w:val="001D6AA1"/>
    <w:rsid w:val="001D6E67"/>
    <w:rsid w:val="001D6F4F"/>
    <w:rsid w:val="001D7049"/>
    <w:rsid w:val="001D72DA"/>
    <w:rsid w:val="001D72F7"/>
    <w:rsid w:val="001D7392"/>
    <w:rsid w:val="001D73F9"/>
    <w:rsid w:val="001D7A97"/>
    <w:rsid w:val="001D7C0F"/>
    <w:rsid w:val="001D7C1C"/>
    <w:rsid w:val="001D7D60"/>
    <w:rsid w:val="001E008B"/>
    <w:rsid w:val="001E0201"/>
    <w:rsid w:val="001E0203"/>
    <w:rsid w:val="001E02B1"/>
    <w:rsid w:val="001E0374"/>
    <w:rsid w:val="001E0477"/>
    <w:rsid w:val="001E0806"/>
    <w:rsid w:val="001E08B1"/>
    <w:rsid w:val="001E0A2B"/>
    <w:rsid w:val="001E0C8B"/>
    <w:rsid w:val="001E0E5A"/>
    <w:rsid w:val="001E1346"/>
    <w:rsid w:val="001E135B"/>
    <w:rsid w:val="001E1362"/>
    <w:rsid w:val="001E13B8"/>
    <w:rsid w:val="001E142E"/>
    <w:rsid w:val="001E1742"/>
    <w:rsid w:val="001E17E1"/>
    <w:rsid w:val="001E18C0"/>
    <w:rsid w:val="001E1CC7"/>
    <w:rsid w:val="001E1E9E"/>
    <w:rsid w:val="001E1ED3"/>
    <w:rsid w:val="001E1EEA"/>
    <w:rsid w:val="001E1F48"/>
    <w:rsid w:val="001E2011"/>
    <w:rsid w:val="001E2181"/>
    <w:rsid w:val="001E24D1"/>
    <w:rsid w:val="001E25F2"/>
    <w:rsid w:val="001E2635"/>
    <w:rsid w:val="001E2D19"/>
    <w:rsid w:val="001E2E3C"/>
    <w:rsid w:val="001E2E51"/>
    <w:rsid w:val="001E2ECB"/>
    <w:rsid w:val="001E2ED7"/>
    <w:rsid w:val="001E2EE4"/>
    <w:rsid w:val="001E300D"/>
    <w:rsid w:val="001E3071"/>
    <w:rsid w:val="001E3151"/>
    <w:rsid w:val="001E31C5"/>
    <w:rsid w:val="001E31EE"/>
    <w:rsid w:val="001E35FA"/>
    <w:rsid w:val="001E3669"/>
    <w:rsid w:val="001E3692"/>
    <w:rsid w:val="001E37E0"/>
    <w:rsid w:val="001E38EF"/>
    <w:rsid w:val="001E3B39"/>
    <w:rsid w:val="001E3B4A"/>
    <w:rsid w:val="001E3F1E"/>
    <w:rsid w:val="001E40F9"/>
    <w:rsid w:val="001E4131"/>
    <w:rsid w:val="001E4135"/>
    <w:rsid w:val="001E4175"/>
    <w:rsid w:val="001E4247"/>
    <w:rsid w:val="001E42D1"/>
    <w:rsid w:val="001E42DA"/>
    <w:rsid w:val="001E43E2"/>
    <w:rsid w:val="001E46E3"/>
    <w:rsid w:val="001E489B"/>
    <w:rsid w:val="001E4912"/>
    <w:rsid w:val="001E4A8A"/>
    <w:rsid w:val="001E4B52"/>
    <w:rsid w:val="001E4C21"/>
    <w:rsid w:val="001E4EDF"/>
    <w:rsid w:val="001E4F24"/>
    <w:rsid w:val="001E5058"/>
    <w:rsid w:val="001E53AA"/>
    <w:rsid w:val="001E543E"/>
    <w:rsid w:val="001E5694"/>
    <w:rsid w:val="001E57BE"/>
    <w:rsid w:val="001E59A5"/>
    <w:rsid w:val="001E5CFD"/>
    <w:rsid w:val="001E5D7C"/>
    <w:rsid w:val="001E60B9"/>
    <w:rsid w:val="001E60CB"/>
    <w:rsid w:val="001E615B"/>
    <w:rsid w:val="001E61A7"/>
    <w:rsid w:val="001E628E"/>
    <w:rsid w:val="001E6777"/>
    <w:rsid w:val="001E6A55"/>
    <w:rsid w:val="001E6A5C"/>
    <w:rsid w:val="001E6BCB"/>
    <w:rsid w:val="001E6C61"/>
    <w:rsid w:val="001E6C65"/>
    <w:rsid w:val="001E6D7D"/>
    <w:rsid w:val="001E6DC2"/>
    <w:rsid w:val="001E6E06"/>
    <w:rsid w:val="001E6F65"/>
    <w:rsid w:val="001E6FDA"/>
    <w:rsid w:val="001E70F8"/>
    <w:rsid w:val="001E71B9"/>
    <w:rsid w:val="001E731D"/>
    <w:rsid w:val="001E7429"/>
    <w:rsid w:val="001E75BC"/>
    <w:rsid w:val="001E7664"/>
    <w:rsid w:val="001E7C09"/>
    <w:rsid w:val="001E7D2E"/>
    <w:rsid w:val="001E7D67"/>
    <w:rsid w:val="001E7DBF"/>
    <w:rsid w:val="001E7F59"/>
    <w:rsid w:val="001E7FDC"/>
    <w:rsid w:val="001F00C2"/>
    <w:rsid w:val="001F02F6"/>
    <w:rsid w:val="001F0391"/>
    <w:rsid w:val="001F04BB"/>
    <w:rsid w:val="001F0531"/>
    <w:rsid w:val="001F05E7"/>
    <w:rsid w:val="001F089F"/>
    <w:rsid w:val="001F09DD"/>
    <w:rsid w:val="001F0C17"/>
    <w:rsid w:val="001F0DA6"/>
    <w:rsid w:val="001F0E4E"/>
    <w:rsid w:val="001F0E65"/>
    <w:rsid w:val="001F0EAA"/>
    <w:rsid w:val="001F0EE8"/>
    <w:rsid w:val="001F1086"/>
    <w:rsid w:val="001F1330"/>
    <w:rsid w:val="001F1871"/>
    <w:rsid w:val="001F194C"/>
    <w:rsid w:val="001F1CB9"/>
    <w:rsid w:val="001F1E02"/>
    <w:rsid w:val="001F1E5D"/>
    <w:rsid w:val="001F205B"/>
    <w:rsid w:val="001F24D0"/>
    <w:rsid w:val="001F25C7"/>
    <w:rsid w:val="001F28C9"/>
    <w:rsid w:val="001F2980"/>
    <w:rsid w:val="001F2C9F"/>
    <w:rsid w:val="001F2CF7"/>
    <w:rsid w:val="001F2DAA"/>
    <w:rsid w:val="001F2DDC"/>
    <w:rsid w:val="001F2EBE"/>
    <w:rsid w:val="001F30BB"/>
    <w:rsid w:val="001F3403"/>
    <w:rsid w:val="001F3429"/>
    <w:rsid w:val="001F3474"/>
    <w:rsid w:val="001F34B3"/>
    <w:rsid w:val="001F357A"/>
    <w:rsid w:val="001F3896"/>
    <w:rsid w:val="001F3FB0"/>
    <w:rsid w:val="001F40B5"/>
    <w:rsid w:val="001F413C"/>
    <w:rsid w:val="001F43DB"/>
    <w:rsid w:val="001F4596"/>
    <w:rsid w:val="001F45DA"/>
    <w:rsid w:val="001F475F"/>
    <w:rsid w:val="001F4905"/>
    <w:rsid w:val="001F4979"/>
    <w:rsid w:val="001F4A4F"/>
    <w:rsid w:val="001F4A6F"/>
    <w:rsid w:val="001F4F92"/>
    <w:rsid w:val="001F5016"/>
    <w:rsid w:val="001F52B4"/>
    <w:rsid w:val="001F5484"/>
    <w:rsid w:val="001F5597"/>
    <w:rsid w:val="001F58C9"/>
    <w:rsid w:val="001F5BC4"/>
    <w:rsid w:val="001F5DAF"/>
    <w:rsid w:val="001F61F9"/>
    <w:rsid w:val="001F63D5"/>
    <w:rsid w:val="001F640D"/>
    <w:rsid w:val="001F657D"/>
    <w:rsid w:val="001F66C2"/>
    <w:rsid w:val="001F6C63"/>
    <w:rsid w:val="001F6CFC"/>
    <w:rsid w:val="001F6E97"/>
    <w:rsid w:val="001F6FF6"/>
    <w:rsid w:val="001F7052"/>
    <w:rsid w:val="001F7118"/>
    <w:rsid w:val="001F7136"/>
    <w:rsid w:val="001F71F5"/>
    <w:rsid w:val="001F7426"/>
    <w:rsid w:val="001F74A5"/>
    <w:rsid w:val="001F74EB"/>
    <w:rsid w:val="001F75E3"/>
    <w:rsid w:val="001F76A0"/>
    <w:rsid w:val="001F78F3"/>
    <w:rsid w:val="001F79DD"/>
    <w:rsid w:val="001F7AE0"/>
    <w:rsid w:val="001F7F6E"/>
    <w:rsid w:val="001F7FDA"/>
    <w:rsid w:val="002002C7"/>
    <w:rsid w:val="0020061D"/>
    <w:rsid w:val="00200674"/>
    <w:rsid w:val="002006DB"/>
    <w:rsid w:val="00200818"/>
    <w:rsid w:val="002008CF"/>
    <w:rsid w:val="00200A09"/>
    <w:rsid w:val="00200A24"/>
    <w:rsid w:val="00200A68"/>
    <w:rsid w:val="00200A84"/>
    <w:rsid w:val="00200D41"/>
    <w:rsid w:val="00200FC0"/>
    <w:rsid w:val="0020106A"/>
    <w:rsid w:val="002010F4"/>
    <w:rsid w:val="00201114"/>
    <w:rsid w:val="00201173"/>
    <w:rsid w:val="0020134D"/>
    <w:rsid w:val="00201355"/>
    <w:rsid w:val="002013BC"/>
    <w:rsid w:val="00201408"/>
    <w:rsid w:val="00201951"/>
    <w:rsid w:val="00201B01"/>
    <w:rsid w:val="00201B0C"/>
    <w:rsid w:val="00201C1B"/>
    <w:rsid w:val="0020229E"/>
    <w:rsid w:val="002023B3"/>
    <w:rsid w:val="002025A4"/>
    <w:rsid w:val="002029F9"/>
    <w:rsid w:val="00202C04"/>
    <w:rsid w:val="00202CD2"/>
    <w:rsid w:val="00202E80"/>
    <w:rsid w:val="002034D0"/>
    <w:rsid w:val="00203646"/>
    <w:rsid w:val="00203740"/>
    <w:rsid w:val="002037DF"/>
    <w:rsid w:val="002038DD"/>
    <w:rsid w:val="00203F14"/>
    <w:rsid w:val="00203F39"/>
    <w:rsid w:val="002041A4"/>
    <w:rsid w:val="00204355"/>
    <w:rsid w:val="0020437F"/>
    <w:rsid w:val="002044D1"/>
    <w:rsid w:val="002046AC"/>
    <w:rsid w:val="00204882"/>
    <w:rsid w:val="00204971"/>
    <w:rsid w:val="002049CC"/>
    <w:rsid w:val="00204A29"/>
    <w:rsid w:val="00204AAF"/>
    <w:rsid w:val="00204FDA"/>
    <w:rsid w:val="002051BB"/>
    <w:rsid w:val="0020547D"/>
    <w:rsid w:val="00205888"/>
    <w:rsid w:val="002058D6"/>
    <w:rsid w:val="00205AEF"/>
    <w:rsid w:val="00205B9B"/>
    <w:rsid w:val="00205D4A"/>
    <w:rsid w:val="00205F1B"/>
    <w:rsid w:val="00205F86"/>
    <w:rsid w:val="00205FD1"/>
    <w:rsid w:val="0020602A"/>
    <w:rsid w:val="00206292"/>
    <w:rsid w:val="00206449"/>
    <w:rsid w:val="002064EC"/>
    <w:rsid w:val="002065FE"/>
    <w:rsid w:val="00206833"/>
    <w:rsid w:val="002068D5"/>
    <w:rsid w:val="002068E2"/>
    <w:rsid w:val="0020697F"/>
    <w:rsid w:val="00206D34"/>
    <w:rsid w:val="00206FE7"/>
    <w:rsid w:val="0020700E"/>
    <w:rsid w:val="0020718D"/>
    <w:rsid w:val="002072F7"/>
    <w:rsid w:val="0020757A"/>
    <w:rsid w:val="002077FC"/>
    <w:rsid w:val="00207817"/>
    <w:rsid w:val="0020787C"/>
    <w:rsid w:val="002078F3"/>
    <w:rsid w:val="00207AE6"/>
    <w:rsid w:val="00207C71"/>
    <w:rsid w:val="00207C89"/>
    <w:rsid w:val="00207CB9"/>
    <w:rsid w:val="00207D48"/>
    <w:rsid w:val="00207F27"/>
    <w:rsid w:val="00207F31"/>
    <w:rsid w:val="002101AD"/>
    <w:rsid w:val="00210214"/>
    <w:rsid w:val="002102C5"/>
    <w:rsid w:val="002102D6"/>
    <w:rsid w:val="002102DB"/>
    <w:rsid w:val="0021040F"/>
    <w:rsid w:val="002104B6"/>
    <w:rsid w:val="00210571"/>
    <w:rsid w:val="0021072C"/>
    <w:rsid w:val="002107E3"/>
    <w:rsid w:val="002107EA"/>
    <w:rsid w:val="002108AD"/>
    <w:rsid w:val="002108BB"/>
    <w:rsid w:val="00210A4E"/>
    <w:rsid w:val="00210A6F"/>
    <w:rsid w:val="00210A7E"/>
    <w:rsid w:val="00210A80"/>
    <w:rsid w:val="00210E5A"/>
    <w:rsid w:val="00210EB4"/>
    <w:rsid w:val="00210F96"/>
    <w:rsid w:val="002112A1"/>
    <w:rsid w:val="002113FB"/>
    <w:rsid w:val="002116F5"/>
    <w:rsid w:val="002117C8"/>
    <w:rsid w:val="00211854"/>
    <w:rsid w:val="002119E3"/>
    <w:rsid w:val="00211AF0"/>
    <w:rsid w:val="00211B9D"/>
    <w:rsid w:val="00211CDA"/>
    <w:rsid w:val="00211D6D"/>
    <w:rsid w:val="00211EE8"/>
    <w:rsid w:val="0021211B"/>
    <w:rsid w:val="00212363"/>
    <w:rsid w:val="002124B8"/>
    <w:rsid w:val="0021268D"/>
    <w:rsid w:val="00212803"/>
    <w:rsid w:val="0021285C"/>
    <w:rsid w:val="0021295A"/>
    <w:rsid w:val="00212981"/>
    <w:rsid w:val="00212A99"/>
    <w:rsid w:val="00212CC5"/>
    <w:rsid w:val="00212F21"/>
    <w:rsid w:val="00212F22"/>
    <w:rsid w:val="00212F4B"/>
    <w:rsid w:val="00212F6D"/>
    <w:rsid w:val="00212F8D"/>
    <w:rsid w:val="002132D0"/>
    <w:rsid w:val="00213308"/>
    <w:rsid w:val="00213323"/>
    <w:rsid w:val="002134D4"/>
    <w:rsid w:val="00213626"/>
    <w:rsid w:val="002136EE"/>
    <w:rsid w:val="0021387E"/>
    <w:rsid w:val="00213B05"/>
    <w:rsid w:val="00213B5D"/>
    <w:rsid w:val="00213C69"/>
    <w:rsid w:val="00213DCB"/>
    <w:rsid w:val="00213FA9"/>
    <w:rsid w:val="0021404A"/>
    <w:rsid w:val="00214187"/>
    <w:rsid w:val="002141F9"/>
    <w:rsid w:val="00214242"/>
    <w:rsid w:val="00214433"/>
    <w:rsid w:val="00214735"/>
    <w:rsid w:val="00214991"/>
    <w:rsid w:val="00214A8A"/>
    <w:rsid w:val="00214BE4"/>
    <w:rsid w:val="00214C10"/>
    <w:rsid w:val="00214C43"/>
    <w:rsid w:val="00214C66"/>
    <w:rsid w:val="00214CF3"/>
    <w:rsid w:val="00214D51"/>
    <w:rsid w:val="00214E7D"/>
    <w:rsid w:val="00214F12"/>
    <w:rsid w:val="00214FAB"/>
    <w:rsid w:val="0021506F"/>
    <w:rsid w:val="00215403"/>
    <w:rsid w:val="00215661"/>
    <w:rsid w:val="0021574F"/>
    <w:rsid w:val="00215C2D"/>
    <w:rsid w:val="00215CD7"/>
    <w:rsid w:val="00215E30"/>
    <w:rsid w:val="0021609B"/>
    <w:rsid w:val="002160F5"/>
    <w:rsid w:val="0021619B"/>
    <w:rsid w:val="002161ED"/>
    <w:rsid w:val="00216341"/>
    <w:rsid w:val="002163F5"/>
    <w:rsid w:val="002165B6"/>
    <w:rsid w:val="00216769"/>
    <w:rsid w:val="00216872"/>
    <w:rsid w:val="002169A6"/>
    <w:rsid w:val="002169DB"/>
    <w:rsid w:val="00216A29"/>
    <w:rsid w:val="00216B0B"/>
    <w:rsid w:val="00216E01"/>
    <w:rsid w:val="00216E0D"/>
    <w:rsid w:val="00216E4E"/>
    <w:rsid w:val="00216F04"/>
    <w:rsid w:val="00216F73"/>
    <w:rsid w:val="002171EE"/>
    <w:rsid w:val="002175C2"/>
    <w:rsid w:val="0021770E"/>
    <w:rsid w:val="0021773B"/>
    <w:rsid w:val="002177B6"/>
    <w:rsid w:val="002177DF"/>
    <w:rsid w:val="002178F3"/>
    <w:rsid w:val="00217997"/>
    <w:rsid w:val="00217A3E"/>
    <w:rsid w:val="00217A41"/>
    <w:rsid w:val="00217ADF"/>
    <w:rsid w:val="00217D3F"/>
    <w:rsid w:val="0022008B"/>
    <w:rsid w:val="002200E5"/>
    <w:rsid w:val="00220180"/>
    <w:rsid w:val="002201A0"/>
    <w:rsid w:val="002202AB"/>
    <w:rsid w:val="002202F3"/>
    <w:rsid w:val="00220478"/>
    <w:rsid w:val="00220482"/>
    <w:rsid w:val="00220603"/>
    <w:rsid w:val="002206ED"/>
    <w:rsid w:val="002206F8"/>
    <w:rsid w:val="00220753"/>
    <w:rsid w:val="002207D3"/>
    <w:rsid w:val="002208F8"/>
    <w:rsid w:val="00220919"/>
    <w:rsid w:val="002209DA"/>
    <w:rsid w:val="00220A44"/>
    <w:rsid w:val="00220A88"/>
    <w:rsid w:val="00220B16"/>
    <w:rsid w:val="00220C46"/>
    <w:rsid w:val="00220CDE"/>
    <w:rsid w:val="00220DE2"/>
    <w:rsid w:val="00220F7D"/>
    <w:rsid w:val="002210C1"/>
    <w:rsid w:val="0022120C"/>
    <w:rsid w:val="00221295"/>
    <w:rsid w:val="00221352"/>
    <w:rsid w:val="0022140F"/>
    <w:rsid w:val="0022173D"/>
    <w:rsid w:val="002217E8"/>
    <w:rsid w:val="002218B8"/>
    <w:rsid w:val="0022193E"/>
    <w:rsid w:val="00221B2C"/>
    <w:rsid w:val="00221CC6"/>
    <w:rsid w:val="00221DCB"/>
    <w:rsid w:val="00221E7F"/>
    <w:rsid w:val="00221E81"/>
    <w:rsid w:val="0022247A"/>
    <w:rsid w:val="0022255D"/>
    <w:rsid w:val="0022288E"/>
    <w:rsid w:val="002228E5"/>
    <w:rsid w:val="00222905"/>
    <w:rsid w:val="002229BB"/>
    <w:rsid w:val="00222A5A"/>
    <w:rsid w:val="00222CE2"/>
    <w:rsid w:val="00222D11"/>
    <w:rsid w:val="00222E95"/>
    <w:rsid w:val="00222ECE"/>
    <w:rsid w:val="00222EDC"/>
    <w:rsid w:val="00222F07"/>
    <w:rsid w:val="0022305E"/>
    <w:rsid w:val="002230B1"/>
    <w:rsid w:val="002233C7"/>
    <w:rsid w:val="002234FB"/>
    <w:rsid w:val="002235F7"/>
    <w:rsid w:val="00223718"/>
    <w:rsid w:val="00223740"/>
    <w:rsid w:val="0022377A"/>
    <w:rsid w:val="00223808"/>
    <w:rsid w:val="00223846"/>
    <w:rsid w:val="0022387E"/>
    <w:rsid w:val="002238CB"/>
    <w:rsid w:val="00223A60"/>
    <w:rsid w:val="00223C10"/>
    <w:rsid w:val="00224036"/>
    <w:rsid w:val="00224304"/>
    <w:rsid w:val="0022462B"/>
    <w:rsid w:val="00224642"/>
    <w:rsid w:val="002249FD"/>
    <w:rsid w:val="00224BE7"/>
    <w:rsid w:val="00224CF9"/>
    <w:rsid w:val="00224E91"/>
    <w:rsid w:val="00224F92"/>
    <w:rsid w:val="002250C7"/>
    <w:rsid w:val="00225240"/>
    <w:rsid w:val="002253AC"/>
    <w:rsid w:val="002256BB"/>
    <w:rsid w:val="002257B4"/>
    <w:rsid w:val="00225B31"/>
    <w:rsid w:val="00225C88"/>
    <w:rsid w:val="00225D5C"/>
    <w:rsid w:val="00225DA8"/>
    <w:rsid w:val="00225E3E"/>
    <w:rsid w:val="00226015"/>
    <w:rsid w:val="00226111"/>
    <w:rsid w:val="002262C5"/>
    <w:rsid w:val="002263DE"/>
    <w:rsid w:val="002265BC"/>
    <w:rsid w:val="00226726"/>
    <w:rsid w:val="00226824"/>
    <w:rsid w:val="00226861"/>
    <w:rsid w:val="00226C2D"/>
    <w:rsid w:val="00226CF4"/>
    <w:rsid w:val="00226E2F"/>
    <w:rsid w:val="00226E45"/>
    <w:rsid w:val="00226F3D"/>
    <w:rsid w:val="00227004"/>
    <w:rsid w:val="0022719F"/>
    <w:rsid w:val="0022720E"/>
    <w:rsid w:val="002273CC"/>
    <w:rsid w:val="002273FA"/>
    <w:rsid w:val="00227515"/>
    <w:rsid w:val="0022765E"/>
    <w:rsid w:val="00227B1A"/>
    <w:rsid w:val="00227D17"/>
    <w:rsid w:val="00227FB9"/>
    <w:rsid w:val="00227FDD"/>
    <w:rsid w:val="00230005"/>
    <w:rsid w:val="0023010A"/>
    <w:rsid w:val="00230280"/>
    <w:rsid w:val="002302C9"/>
    <w:rsid w:val="0023036F"/>
    <w:rsid w:val="002303B9"/>
    <w:rsid w:val="002303EC"/>
    <w:rsid w:val="002304C6"/>
    <w:rsid w:val="00230B8B"/>
    <w:rsid w:val="00230C3A"/>
    <w:rsid w:val="00230E34"/>
    <w:rsid w:val="00230FDE"/>
    <w:rsid w:val="002311D8"/>
    <w:rsid w:val="002315DD"/>
    <w:rsid w:val="00231720"/>
    <w:rsid w:val="00231800"/>
    <w:rsid w:val="00231897"/>
    <w:rsid w:val="00231992"/>
    <w:rsid w:val="00231A53"/>
    <w:rsid w:val="00231F6C"/>
    <w:rsid w:val="00231FF5"/>
    <w:rsid w:val="002320B3"/>
    <w:rsid w:val="00232274"/>
    <w:rsid w:val="0023240F"/>
    <w:rsid w:val="002324EF"/>
    <w:rsid w:val="002328AF"/>
    <w:rsid w:val="00232A6F"/>
    <w:rsid w:val="00232B94"/>
    <w:rsid w:val="00232BF3"/>
    <w:rsid w:val="00232BF9"/>
    <w:rsid w:val="00232C2D"/>
    <w:rsid w:val="00232C8E"/>
    <w:rsid w:val="00232CCF"/>
    <w:rsid w:val="00232D4F"/>
    <w:rsid w:val="00232FE7"/>
    <w:rsid w:val="0023300F"/>
    <w:rsid w:val="0023306F"/>
    <w:rsid w:val="0023316E"/>
    <w:rsid w:val="002331BB"/>
    <w:rsid w:val="002331ED"/>
    <w:rsid w:val="002332EE"/>
    <w:rsid w:val="00233359"/>
    <w:rsid w:val="002333AB"/>
    <w:rsid w:val="002334B8"/>
    <w:rsid w:val="00233600"/>
    <w:rsid w:val="0023393B"/>
    <w:rsid w:val="00233B32"/>
    <w:rsid w:val="00233D39"/>
    <w:rsid w:val="00233FBA"/>
    <w:rsid w:val="00234174"/>
    <w:rsid w:val="002341AF"/>
    <w:rsid w:val="0023436D"/>
    <w:rsid w:val="0023455A"/>
    <w:rsid w:val="002345B4"/>
    <w:rsid w:val="002346D1"/>
    <w:rsid w:val="002346F3"/>
    <w:rsid w:val="00234727"/>
    <w:rsid w:val="00234A30"/>
    <w:rsid w:val="00234B7F"/>
    <w:rsid w:val="00234BAE"/>
    <w:rsid w:val="00234EFD"/>
    <w:rsid w:val="00235072"/>
    <w:rsid w:val="002353DB"/>
    <w:rsid w:val="00235BCE"/>
    <w:rsid w:val="00235C58"/>
    <w:rsid w:val="00235E3D"/>
    <w:rsid w:val="00235EA3"/>
    <w:rsid w:val="00236159"/>
    <w:rsid w:val="002361BB"/>
    <w:rsid w:val="00236207"/>
    <w:rsid w:val="00236365"/>
    <w:rsid w:val="002365A2"/>
    <w:rsid w:val="00236691"/>
    <w:rsid w:val="0023670B"/>
    <w:rsid w:val="002368FC"/>
    <w:rsid w:val="00236A39"/>
    <w:rsid w:val="00236AA3"/>
    <w:rsid w:val="00236AAF"/>
    <w:rsid w:val="00236BDB"/>
    <w:rsid w:val="00236CED"/>
    <w:rsid w:val="00236D21"/>
    <w:rsid w:val="00236E48"/>
    <w:rsid w:val="00237058"/>
    <w:rsid w:val="0023706B"/>
    <w:rsid w:val="00237078"/>
    <w:rsid w:val="00237168"/>
    <w:rsid w:val="00237194"/>
    <w:rsid w:val="0023751E"/>
    <w:rsid w:val="0023758D"/>
    <w:rsid w:val="0023765C"/>
    <w:rsid w:val="00237777"/>
    <w:rsid w:val="00237BB0"/>
    <w:rsid w:val="00237BCD"/>
    <w:rsid w:val="00237BE2"/>
    <w:rsid w:val="00237C1A"/>
    <w:rsid w:val="00237CED"/>
    <w:rsid w:val="00237E81"/>
    <w:rsid w:val="002400C9"/>
    <w:rsid w:val="002404ED"/>
    <w:rsid w:val="00240611"/>
    <w:rsid w:val="002406B7"/>
    <w:rsid w:val="00240881"/>
    <w:rsid w:val="002408A3"/>
    <w:rsid w:val="002408DA"/>
    <w:rsid w:val="00240916"/>
    <w:rsid w:val="00240CA5"/>
    <w:rsid w:val="00240F02"/>
    <w:rsid w:val="00240FF3"/>
    <w:rsid w:val="00241023"/>
    <w:rsid w:val="0024103C"/>
    <w:rsid w:val="0024121D"/>
    <w:rsid w:val="0024127A"/>
    <w:rsid w:val="0024148E"/>
    <w:rsid w:val="002414A6"/>
    <w:rsid w:val="0024155B"/>
    <w:rsid w:val="0024171C"/>
    <w:rsid w:val="00241771"/>
    <w:rsid w:val="002418A3"/>
    <w:rsid w:val="00241A66"/>
    <w:rsid w:val="00241B5E"/>
    <w:rsid w:val="00241E62"/>
    <w:rsid w:val="00241ECE"/>
    <w:rsid w:val="0024212B"/>
    <w:rsid w:val="00242154"/>
    <w:rsid w:val="00242396"/>
    <w:rsid w:val="002423F4"/>
    <w:rsid w:val="00242481"/>
    <w:rsid w:val="00242486"/>
    <w:rsid w:val="0024248A"/>
    <w:rsid w:val="002424CE"/>
    <w:rsid w:val="00242537"/>
    <w:rsid w:val="00242624"/>
    <w:rsid w:val="00242869"/>
    <w:rsid w:val="00242A27"/>
    <w:rsid w:val="00242B02"/>
    <w:rsid w:val="00242BBA"/>
    <w:rsid w:val="00242C26"/>
    <w:rsid w:val="00242C61"/>
    <w:rsid w:val="00242E21"/>
    <w:rsid w:val="00242E72"/>
    <w:rsid w:val="00242F07"/>
    <w:rsid w:val="0024310A"/>
    <w:rsid w:val="002434E8"/>
    <w:rsid w:val="0024351E"/>
    <w:rsid w:val="00243594"/>
    <w:rsid w:val="0024364D"/>
    <w:rsid w:val="0024365F"/>
    <w:rsid w:val="002437D3"/>
    <w:rsid w:val="00243A17"/>
    <w:rsid w:val="00243CA9"/>
    <w:rsid w:val="00243E0F"/>
    <w:rsid w:val="00243FF3"/>
    <w:rsid w:val="0024401C"/>
    <w:rsid w:val="00244080"/>
    <w:rsid w:val="0024414A"/>
    <w:rsid w:val="0024422E"/>
    <w:rsid w:val="0024442B"/>
    <w:rsid w:val="00244716"/>
    <w:rsid w:val="0024472D"/>
    <w:rsid w:val="002448D2"/>
    <w:rsid w:val="00244963"/>
    <w:rsid w:val="002449FA"/>
    <w:rsid w:val="00244B7F"/>
    <w:rsid w:val="00244D99"/>
    <w:rsid w:val="002450AA"/>
    <w:rsid w:val="002450DB"/>
    <w:rsid w:val="0024516C"/>
    <w:rsid w:val="00245177"/>
    <w:rsid w:val="00245304"/>
    <w:rsid w:val="00245309"/>
    <w:rsid w:val="00245416"/>
    <w:rsid w:val="0024552D"/>
    <w:rsid w:val="002458A3"/>
    <w:rsid w:val="00245B35"/>
    <w:rsid w:val="00245B58"/>
    <w:rsid w:val="00245BDA"/>
    <w:rsid w:val="00245C32"/>
    <w:rsid w:val="00245C7A"/>
    <w:rsid w:val="00245CF0"/>
    <w:rsid w:val="00245E27"/>
    <w:rsid w:val="00245E9C"/>
    <w:rsid w:val="00245FF7"/>
    <w:rsid w:val="002460DE"/>
    <w:rsid w:val="002460FC"/>
    <w:rsid w:val="002461F9"/>
    <w:rsid w:val="002462AD"/>
    <w:rsid w:val="0024669B"/>
    <w:rsid w:val="0024699F"/>
    <w:rsid w:val="00246B45"/>
    <w:rsid w:val="00247009"/>
    <w:rsid w:val="0024705D"/>
    <w:rsid w:val="00247071"/>
    <w:rsid w:val="002470E6"/>
    <w:rsid w:val="0024745D"/>
    <w:rsid w:val="00247551"/>
    <w:rsid w:val="00247712"/>
    <w:rsid w:val="00247757"/>
    <w:rsid w:val="00247820"/>
    <w:rsid w:val="00247B1E"/>
    <w:rsid w:val="00247CEC"/>
    <w:rsid w:val="00250186"/>
    <w:rsid w:val="002501FB"/>
    <w:rsid w:val="00250208"/>
    <w:rsid w:val="00250226"/>
    <w:rsid w:val="00250230"/>
    <w:rsid w:val="0025031F"/>
    <w:rsid w:val="002503AB"/>
    <w:rsid w:val="002503F5"/>
    <w:rsid w:val="002505A7"/>
    <w:rsid w:val="00250645"/>
    <w:rsid w:val="002507A4"/>
    <w:rsid w:val="002507C5"/>
    <w:rsid w:val="00250950"/>
    <w:rsid w:val="002509AE"/>
    <w:rsid w:val="00250C73"/>
    <w:rsid w:val="00250D92"/>
    <w:rsid w:val="00250E26"/>
    <w:rsid w:val="002511B2"/>
    <w:rsid w:val="0025124F"/>
    <w:rsid w:val="002512F6"/>
    <w:rsid w:val="00251345"/>
    <w:rsid w:val="002514D8"/>
    <w:rsid w:val="002515C9"/>
    <w:rsid w:val="00251738"/>
    <w:rsid w:val="0025173F"/>
    <w:rsid w:val="00251780"/>
    <w:rsid w:val="00251854"/>
    <w:rsid w:val="002518E4"/>
    <w:rsid w:val="00251B14"/>
    <w:rsid w:val="00251B9D"/>
    <w:rsid w:val="00251D2B"/>
    <w:rsid w:val="00251F21"/>
    <w:rsid w:val="00251FB2"/>
    <w:rsid w:val="00252027"/>
    <w:rsid w:val="0025209D"/>
    <w:rsid w:val="002520A5"/>
    <w:rsid w:val="0025211F"/>
    <w:rsid w:val="0025216A"/>
    <w:rsid w:val="002521F0"/>
    <w:rsid w:val="00252284"/>
    <w:rsid w:val="002524E1"/>
    <w:rsid w:val="00252587"/>
    <w:rsid w:val="002525DB"/>
    <w:rsid w:val="00252606"/>
    <w:rsid w:val="0025267B"/>
    <w:rsid w:val="0025277C"/>
    <w:rsid w:val="002529DA"/>
    <w:rsid w:val="00252B39"/>
    <w:rsid w:val="00252C8B"/>
    <w:rsid w:val="0025308B"/>
    <w:rsid w:val="00253198"/>
    <w:rsid w:val="002533D0"/>
    <w:rsid w:val="002535C5"/>
    <w:rsid w:val="00253860"/>
    <w:rsid w:val="00253A7C"/>
    <w:rsid w:val="00253B02"/>
    <w:rsid w:val="00253BF2"/>
    <w:rsid w:val="00253DE2"/>
    <w:rsid w:val="00253E4D"/>
    <w:rsid w:val="00253F08"/>
    <w:rsid w:val="00254324"/>
    <w:rsid w:val="00254356"/>
    <w:rsid w:val="002543D9"/>
    <w:rsid w:val="0025480C"/>
    <w:rsid w:val="002548FE"/>
    <w:rsid w:val="002549E8"/>
    <w:rsid w:val="00254A3F"/>
    <w:rsid w:val="00254AF1"/>
    <w:rsid w:val="00254CAB"/>
    <w:rsid w:val="00254F87"/>
    <w:rsid w:val="0025524C"/>
    <w:rsid w:val="00255352"/>
    <w:rsid w:val="00255399"/>
    <w:rsid w:val="00255686"/>
    <w:rsid w:val="002558CD"/>
    <w:rsid w:val="00255B4F"/>
    <w:rsid w:val="00255CE6"/>
    <w:rsid w:val="00255EAF"/>
    <w:rsid w:val="00255FD7"/>
    <w:rsid w:val="0025606F"/>
    <w:rsid w:val="002560ED"/>
    <w:rsid w:val="002563B6"/>
    <w:rsid w:val="00256482"/>
    <w:rsid w:val="002566B7"/>
    <w:rsid w:val="00256931"/>
    <w:rsid w:val="0025699F"/>
    <w:rsid w:val="002569D5"/>
    <w:rsid w:val="00256A2E"/>
    <w:rsid w:val="00256ACA"/>
    <w:rsid w:val="00256B07"/>
    <w:rsid w:val="00256F33"/>
    <w:rsid w:val="00256F9A"/>
    <w:rsid w:val="00257065"/>
    <w:rsid w:val="00257182"/>
    <w:rsid w:val="002575E1"/>
    <w:rsid w:val="00257701"/>
    <w:rsid w:val="00257788"/>
    <w:rsid w:val="00257801"/>
    <w:rsid w:val="0025797C"/>
    <w:rsid w:val="00257ACE"/>
    <w:rsid w:val="00257B9F"/>
    <w:rsid w:val="00257C09"/>
    <w:rsid w:val="00257CCE"/>
    <w:rsid w:val="00257D40"/>
    <w:rsid w:val="00257D6B"/>
    <w:rsid w:val="00257FDB"/>
    <w:rsid w:val="00260199"/>
    <w:rsid w:val="00260220"/>
    <w:rsid w:val="002602D0"/>
    <w:rsid w:val="00260482"/>
    <w:rsid w:val="00260546"/>
    <w:rsid w:val="002605A8"/>
    <w:rsid w:val="00260825"/>
    <w:rsid w:val="00260866"/>
    <w:rsid w:val="00260871"/>
    <w:rsid w:val="00260AF9"/>
    <w:rsid w:val="00260B32"/>
    <w:rsid w:val="00260F96"/>
    <w:rsid w:val="002612E2"/>
    <w:rsid w:val="00261347"/>
    <w:rsid w:val="002613B0"/>
    <w:rsid w:val="0026181D"/>
    <w:rsid w:val="002618D0"/>
    <w:rsid w:val="002619FF"/>
    <w:rsid w:val="00261D35"/>
    <w:rsid w:val="00261DD0"/>
    <w:rsid w:val="00261E06"/>
    <w:rsid w:val="00261E8D"/>
    <w:rsid w:val="00262135"/>
    <w:rsid w:val="0026217C"/>
    <w:rsid w:val="00262259"/>
    <w:rsid w:val="00262612"/>
    <w:rsid w:val="00262659"/>
    <w:rsid w:val="00262725"/>
    <w:rsid w:val="002627BF"/>
    <w:rsid w:val="00262AE6"/>
    <w:rsid w:val="00262B4B"/>
    <w:rsid w:val="00262BED"/>
    <w:rsid w:val="00262C70"/>
    <w:rsid w:val="00263328"/>
    <w:rsid w:val="002633C1"/>
    <w:rsid w:val="0026346F"/>
    <w:rsid w:val="00263528"/>
    <w:rsid w:val="0026357F"/>
    <w:rsid w:val="00263581"/>
    <w:rsid w:val="00263582"/>
    <w:rsid w:val="002635D1"/>
    <w:rsid w:val="00263635"/>
    <w:rsid w:val="0026363E"/>
    <w:rsid w:val="00263642"/>
    <w:rsid w:val="00263653"/>
    <w:rsid w:val="0026384B"/>
    <w:rsid w:val="002638C2"/>
    <w:rsid w:val="002638D1"/>
    <w:rsid w:val="002638E9"/>
    <w:rsid w:val="00263971"/>
    <w:rsid w:val="002639C6"/>
    <w:rsid w:val="00263A3A"/>
    <w:rsid w:val="00263C8B"/>
    <w:rsid w:val="00263E15"/>
    <w:rsid w:val="002641EC"/>
    <w:rsid w:val="0026424B"/>
    <w:rsid w:val="00264548"/>
    <w:rsid w:val="00264654"/>
    <w:rsid w:val="002648AD"/>
    <w:rsid w:val="00264D9C"/>
    <w:rsid w:val="00264F84"/>
    <w:rsid w:val="00264FCF"/>
    <w:rsid w:val="00264FD3"/>
    <w:rsid w:val="00265169"/>
    <w:rsid w:val="002653C7"/>
    <w:rsid w:val="0026545C"/>
    <w:rsid w:val="002654AD"/>
    <w:rsid w:val="00265727"/>
    <w:rsid w:val="0026575F"/>
    <w:rsid w:val="0026590B"/>
    <w:rsid w:val="002659B7"/>
    <w:rsid w:val="00265BDB"/>
    <w:rsid w:val="00265C2D"/>
    <w:rsid w:val="00265C54"/>
    <w:rsid w:val="00265CB6"/>
    <w:rsid w:val="00265DEA"/>
    <w:rsid w:val="00265DEF"/>
    <w:rsid w:val="00265E00"/>
    <w:rsid w:val="0026617C"/>
    <w:rsid w:val="002661C3"/>
    <w:rsid w:val="0026623F"/>
    <w:rsid w:val="00266312"/>
    <w:rsid w:val="00266478"/>
    <w:rsid w:val="002665A1"/>
    <w:rsid w:val="002665D7"/>
    <w:rsid w:val="002667AC"/>
    <w:rsid w:val="00266A22"/>
    <w:rsid w:val="00266BCB"/>
    <w:rsid w:val="00266C3F"/>
    <w:rsid w:val="00266E05"/>
    <w:rsid w:val="00266E7B"/>
    <w:rsid w:val="0026712D"/>
    <w:rsid w:val="0026720B"/>
    <w:rsid w:val="00267272"/>
    <w:rsid w:val="002672F7"/>
    <w:rsid w:val="00267674"/>
    <w:rsid w:val="0026776B"/>
    <w:rsid w:val="002677D9"/>
    <w:rsid w:val="00267A13"/>
    <w:rsid w:val="00267B46"/>
    <w:rsid w:val="00267EF4"/>
    <w:rsid w:val="00267F8F"/>
    <w:rsid w:val="00270114"/>
    <w:rsid w:val="002701CE"/>
    <w:rsid w:val="002702D4"/>
    <w:rsid w:val="002703FC"/>
    <w:rsid w:val="00270710"/>
    <w:rsid w:val="002708A6"/>
    <w:rsid w:val="00270A4E"/>
    <w:rsid w:val="00270ABC"/>
    <w:rsid w:val="00270D14"/>
    <w:rsid w:val="00270DBF"/>
    <w:rsid w:val="00270DE2"/>
    <w:rsid w:val="00270F63"/>
    <w:rsid w:val="00271026"/>
    <w:rsid w:val="00271078"/>
    <w:rsid w:val="00271284"/>
    <w:rsid w:val="002712EA"/>
    <w:rsid w:val="002713EB"/>
    <w:rsid w:val="002714A7"/>
    <w:rsid w:val="002715AD"/>
    <w:rsid w:val="002715C5"/>
    <w:rsid w:val="002717BA"/>
    <w:rsid w:val="00271A7C"/>
    <w:rsid w:val="00271B39"/>
    <w:rsid w:val="00271BFC"/>
    <w:rsid w:val="00271C44"/>
    <w:rsid w:val="00271E5D"/>
    <w:rsid w:val="00271ED5"/>
    <w:rsid w:val="0027211E"/>
    <w:rsid w:val="00272288"/>
    <w:rsid w:val="00272414"/>
    <w:rsid w:val="00272624"/>
    <w:rsid w:val="00272747"/>
    <w:rsid w:val="00272779"/>
    <w:rsid w:val="002727C0"/>
    <w:rsid w:val="00272854"/>
    <w:rsid w:val="002728D9"/>
    <w:rsid w:val="00272944"/>
    <w:rsid w:val="00272A08"/>
    <w:rsid w:val="00272AD1"/>
    <w:rsid w:val="00272AF1"/>
    <w:rsid w:val="00272B06"/>
    <w:rsid w:val="00272B55"/>
    <w:rsid w:val="00272B86"/>
    <w:rsid w:val="00272D29"/>
    <w:rsid w:val="00272D5D"/>
    <w:rsid w:val="00272DEE"/>
    <w:rsid w:val="00272EBD"/>
    <w:rsid w:val="0027311D"/>
    <w:rsid w:val="0027320E"/>
    <w:rsid w:val="00273222"/>
    <w:rsid w:val="002735F0"/>
    <w:rsid w:val="002735F4"/>
    <w:rsid w:val="00273719"/>
    <w:rsid w:val="0027376D"/>
    <w:rsid w:val="002737D1"/>
    <w:rsid w:val="00273C69"/>
    <w:rsid w:val="00273D2E"/>
    <w:rsid w:val="00274341"/>
    <w:rsid w:val="002744B8"/>
    <w:rsid w:val="00274817"/>
    <w:rsid w:val="0027492B"/>
    <w:rsid w:val="002749CD"/>
    <w:rsid w:val="00274BDD"/>
    <w:rsid w:val="00274CE0"/>
    <w:rsid w:val="00274CF8"/>
    <w:rsid w:val="00274DAF"/>
    <w:rsid w:val="00275311"/>
    <w:rsid w:val="00275899"/>
    <w:rsid w:val="00275950"/>
    <w:rsid w:val="00275A5D"/>
    <w:rsid w:val="00275A6A"/>
    <w:rsid w:val="00275B1C"/>
    <w:rsid w:val="00275BD4"/>
    <w:rsid w:val="00275DA0"/>
    <w:rsid w:val="00275EF4"/>
    <w:rsid w:val="00276099"/>
    <w:rsid w:val="0027609F"/>
    <w:rsid w:val="00276225"/>
    <w:rsid w:val="00276314"/>
    <w:rsid w:val="002764EF"/>
    <w:rsid w:val="00276570"/>
    <w:rsid w:val="00276900"/>
    <w:rsid w:val="00276A1A"/>
    <w:rsid w:val="00276EB2"/>
    <w:rsid w:val="00276F84"/>
    <w:rsid w:val="00276FF5"/>
    <w:rsid w:val="00277315"/>
    <w:rsid w:val="002773B2"/>
    <w:rsid w:val="00277429"/>
    <w:rsid w:val="002774B0"/>
    <w:rsid w:val="0027768D"/>
    <w:rsid w:val="002777A0"/>
    <w:rsid w:val="002779F6"/>
    <w:rsid w:val="00277B8A"/>
    <w:rsid w:val="00277D83"/>
    <w:rsid w:val="00277DDB"/>
    <w:rsid w:val="00280027"/>
    <w:rsid w:val="00280125"/>
    <w:rsid w:val="002801E5"/>
    <w:rsid w:val="002804F8"/>
    <w:rsid w:val="002805EF"/>
    <w:rsid w:val="00280648"/>
    <w:rsid w:val="0028068A"/>
    <w:rsid w:val="0028068E"/>
    <w:rsid w:val="002806F4"/>
    <w:rsid w:val="002807C9"/>
    <w:rsid w:val="0028093F"/>
    <w:rsid w:val="002809DC"/>
    <w:rsid w:val="00280AE7"/>
    <w:rsid w:val="00280B31"/>
    <w:rsid w:val="00280B50"/>
    <w:rsid w:val="00280B6E"/>
    <w:rsid w:val="00280C45"/>
    <w:rsid w:val="00280D8B"/>
    <w:rsid w:val="00280E00"/>
    <w:rsid w:val="00280F03"/>
    <w:rsid w:val="00280F48"/>
    <w:rsid w:val="00280F50"/>
    <w:rsid w:val="00280FA2"/>
    <w:rsid w:val="002811B2"/>
    <w:rsid w:val="002812BF"/>
    <w:rsid w:val="00281423"/>
    <w:rsid w:val="00281461"/>
    <w:rsid w:val="00281475"/>
    <w:rsid w:val="002814EE"/>
    <w:rsid w:val="00281718"/>
    <w:rsid w:val="002819B3"/>
    <w:rsid w:val="00281B28"/>
    <w:rsid w:val="00281B2B"/>
    <w:rsid w:val="00281D09"/>
    <w:rsid w:val="00281E1C"/>
    <w:rsid w:val="00281EE8"/>
    <w:rsid w:val="0028216B"/>
    <w:rsid w:val="002821B4"/>
    <w:rsid w:val="002821EE"/>
    <w:rsid w:val="00282233"/>
    <w:rsid w:val="0028267C"/>
    <w:rsid w:val="002826EA"/>
    <w:rsid w:val="00282A57"/>
    <w:rsid w:val="00282B5F"/>
    <w:rsid w:val="00282BD5"/>
    <w:rsid w:val="00282BD9"/>
    <w:rsid w:val="0028301F"/>
    <w:rsid w:val="00283086"/>
    <w:rsid w:val="0028328B"/>
    <w:rsid w:val="002832B4"/>
    <w:rsid w:val="002832D6"/>
    <w:rsid w:val="00283709"/>
    <w:rsid w:val="00283B34"/>
    <w:rsid w:val="00283DBB"/>
    <w:rsid w:val="00283DE2"/>
    <w:rsid w:val="002840F6"/>
    <w:rsid w:val="002841EF"/>
    <w:rsid w:val="00284252"/>
    <w:rsid w:val="002842C7"/>
    <w:rsid w:val="00284627"/>
    <w:rsid w:val="00284856"/>
    <w:rsid w:val="00284A63"/>
    <w:rsid w:val="00284AA3"/>
    <w:rsid w:val="00284B26"/>
    <w:rsid w:val="00284D58"/>
    <w:rsid w:val="0028521E"/>
    <w:rsid w:val="002852E6"/>
    <w:rsid w:val="00285462"/>
    <w:rsid w:val="002857A5"/>
    <w:rsid w:val="002857FC"/>
    <w:rsid w:val="00285843"/>
    <w:rsid w:val="00285A1E"/>
    <w:rsid w:val="00285A56"/>
    <w:rsid w:val="00285AC5"/>
    <w:rsid w:val="00285C41"/>
    <w:rsid w:val="00285D81"/>
    <w:rsid w:val="002862D3"/>
    <w:rsid w:val="0028671D"/>
    <w:rsid w:val="0028682C"/>
    <w:rsid w:val="00286A41"/>
    <w:rsid w:val="00286D31"/>
    <w:rsid w:val="00286F82"/>
    <w:rsid w:val="002871AB"/>
    <w:rsid w:val="0028723B"/>
    <w:rsid w:val="0028723F"/>
    <w:rsid w:val="00287241"/>
    <w:rsid w:val="00287250"/>
    <w:rsid w:val="002872EA"/>
    <w:rsid w:val="0028739D"/>
    <w:rsid w:val="00287454"/>
    <w:rsid w:val="0028751C"/>
    <w:rsid w:val="00287571"/>
    <w:rsid w:val="00287594"/>
    <w:rsid w:val="002877EC"/>
    <w:rsid w:val="002879AE"/>
    <w:rsid w:val="00287B8E"/>
    <w:rsid w:val="00287B9B"/>
    <w:rsid w:val="00287D30"/>
    <w:rsid w:val="00287F45"/>
    <w:rsid w:val="0029007F"/>
    <w:rsid w:val="0029018D"/>
    <w:rsid w:val="00290203"/>
    <w:rsid w:val="00290252"/>
    <w:rsid w:val="00290255"/>
    <w:rsid w:val="002902EF"/>
    <w:rsid w:val="002904C8"/>
    <w:rsid w:val="00290528"/>
    <w:rsid w:val="002905FA"/>
    <w:rsid w:val="00290770"/>
    <w:rsid w:val="002908AE"/>
    <w:rsid w:val="002908EE"/>
    <w:rsid w:val="00290920"/>
    <w:rsid w:val="0029092B"/>
    <w:rsid w:val="002909AB"/>
    <w:rsid w:val="00290AD6"/>
    <w:rsid w:val="00290AE0"/>
    <w:rsid w:val="00290B8B"/>
    <w:rsid w:val="00290CE1"/>
    <w:rsid w:val="00290D81"/>
    <w:rsid w:val="00291103"/>
    <w:rsid w:val="00291186"/>
    <w:rsid w:val="002913B9"/>
    <w:rsid w:val="0029143D"/>
    <w:rsid w:val="0029174D"/>
    <w:rsid w:val="00291853"/>
    <w:rsid w:val="002918C6"/>
    <w:rsid w:val="0029193A"/>
    <w:rsid w:val="00291D8E"/>
    <w:rsid w:val="00291E67"/>
    <w:rsid w:val="00291EF1"/>
    <w:rsid w:val="00291FC9"/>
    <w:rsid w:val="002920A0"/>
    <w:rsid w:val="00292124"/>
    <w:rsid w:val="0029237F"/>
    <w:rsid w:val="0029253D"/>
    <w:rsid w:val="00292558"/>
    <w:rsid w:val="00292939"/>
    <w:rsid w:val="00292A91"/>
    <w:rsid w:val="00292AF9"/>
    <w:rsid w:val="00292B49"/>
    <w:rsid w:val="00292C49"/>
    <w:rsid w:val="00292F56"/>
    <w:rsid w:val="0029314D"/>
    <w:rsid w:val="002931A2"/>
    <w:rsid w:val="00293202"/>
    <w:rsid w:val="002932DB"/>
    <w:rsid w:val="002934F7"/>
    <w:rsid w:val="0029356F"/>
    <w:rsid w:val="002935D0"/>
    <w:rsid w:val="002936B7"/>
    <w:rsid w:val="002938D0"/>
    <w:rsid w:val="002939FB"/>
    <w:rsid w:val="00293B23"/>
    <w:rsid w:val="00293BF0"/>
    <w:rsid w:val="00293E8E"/>
    <w:rsid w:val="00294053"/>
    <w:rsid w:val="00294213"/>
    <w:rsid w:val="0029428C"/>
    <w:rsid w:val="0029465E"/>
    <w:rsid w:val="002946C1"/>
    <w:rsid w:val="00294855"/>
    <w:rsid w:val="00294DF1"/>
    <w:rsid w:val="00294ED6"/>
    <w:rsid w:val="002950D3"/>
    <w:rsid w:val="002950E6"/>
    <w:rsid w:val="002953BD"/>
    <w:rsid w:val="002956AC"/>
    <w:rsid w:val="00295995"/>
    <w:rsid w:val="00295998"/>
    <w:rsid w:val="002959BD"/>
    <w:rsid w:val="00295A0A"/>
    <w:rsid w:val="00295A77"/>
    <w:rsid w:val="00295A7B"/>
    <w:rsid w:val="00295C01"/>
    <w:rsid w:val="00295CDA"/>
    <w:rsid w:val="00295E0F"/>
    <w:rsid w:val="00296106"/>
    <w:rsid w:val="002961BD"/>
    <w:rsid w:val="002961CB"/>
    <w:rsid w:val="0029644F"/>
    <w:rsid w:val="0029649A"/>
    <w:rsid w:val="002964C3"/>
    <w:rsid w:val="0029692C"/>
    <w:rsid w:val="0029695B"/>
    <w:rsid w:val="002969DA"/>
    <w:rsid w:val="00296F86"/>
    <w:rsid w:val="0029701A"/>
    <w:rsid w:val="002971E7"/>
    <w:rsid w:val="002973E8"/>
    <w:rsid w:val="002973ED"/>
    <w:rsid w:val="002976DD"/>
    <w:rsid w:val="0029777F"/>
    <w:rsid w:val="002977E4"/>
    <w:rsid w:val="002978BC"/>
    <w:rsid w:val="002978BD"/>
    <w:rsid w:val="00297C90"/>
    <w:rsid w:val="00297F19"/>
    <w:rsid w:val="002A0024"/>
    <w:rsid w:val="002A06E1"/>
    <w:rsid w:val="002A07B8"/>
    <w:rsid w:val="002A080A"/>
    <w:rsid w:val="002A0818"/>
    <w:rsid w:val="002A0819"/>
    <w:rsid w:val="002A09A3"/>
    <w:rsid w:val="002A09B9"/>
    <w:rsid w:val="002A0B77"/>
    <w:rsid w:val="002A0C3C"/>
    <w:rsid w:val="002A0CC3"/>
    <w:rsid w:val="002A0D08"/>
    <w:rsid w:val="002A0DAD"/>
    <w:rsid w:val="002A0E84"/>
    <w:rsid w:val="002A11E6"/>
    <w:rsid w:val="002A1266"/>
    <w:rsid w:val="002A1508"/>
    <w:rsid w:val="002A1542"/>
    <w:rsid w:val="002A1547"/>
    <w:rsid w:val="002A1606"/>
    <w:rsid w:val="002A160B"/>
    <w:rsid w:val="002A1666"/>
    <w:rsid w:val="002A1687"/>
    <w:rsid w:val="002A16A8"/>
    <w:rsid w:val="002A1780"/>
    <w:rsid w:val="002A18A3"/>
    <w:rsid w:val="002A19F0"/>
    <w:rsid w:val="002A1AB3"/>
    <w:rsid w:val="002A1BA4"/>
    <w:rsid w:val="002A1DE8"/>
    <w:rsid w:val="002A2018"/>
    <w:rsid w:val="002A2102"/>
    <w:rsid w:val="002A2409"/>
    <w:rsid w:val="002A24E2"/>
    <w:rsid w:val="002A24FC"/>
    <w:rsid w:val="002A2A82"/>
    <w:rsid w:val="002A2C00"/>
    <w:rsid w:val="002A2EA2"/>
    <w:rsid w:val="002A3007"/>
    <w:rsid w:val="002A3137"/>
    <w:rsid w:val="002A31B2"/>
    <w:rsid w:val="002A322B"/>
    <w:rsid w:val="002A3396"/>
    <w:rsid w:val="002A33B6"/>
    <w:rsid w:val="002A3529"/>
    <w:rsid w:val="002A3862"/>
    <w:rsid w:val="002A3955"/>
    <w:rsid w:val="002A3A7C"/>
    <w:rsid w:val="002A3A7E"/>
    <w:rsid w:val="002A3AE0"/>
    <w:rsid w:val="002A3D1A"/>
    <w:rsid w:val="002A3D3F"/>
    <w:rsid w:val="002A3E34"/>
    <w:rsid w:val="002A3EEA"/>
    <w:rsid w:val="002A3EEE"/>
    <w:rsid w:val="002A4124"/>
    <w:rsid w:val="002A41D3"/>
    <w:rsid w:val="002A4248"/>
    <w:rsid w:val="002A4428"/>
    <w:rsid w:val="002A47CF"/>
    <w:rsid w:val="002A48C0"/>
    <w:rsid w:val="002A4911"/>
    <w:rsid w:val="002A49FB"/>
    <w:rsid w:val="002A4AAD"/>
    <w:rsid w:val="002A4D8E"/>
    <w:rsid w:val="002A4D92"/>
    <w:rsid w:val="002A5125"/>
    <w:rsid w:val="002A51B8"/>
    <w:rsid w:val="002A534B"/>
    <w:rsid w:val="002A5538"/>
    <w:rsid w:val="002A55BD"/>
    <w:rsid w:val="002A5699"/>
    <w:rsid w:val="002A5703"/>
    <w:rsid w:val="002A5819"/>
    <w:rsid w:val="002A586F"/>
    <w:rsid w:val="002A598D"/>
    <w:rsid w:val="002A5B26"/>
    <w:rsid w:val="002A5BCA"/>
    <w:rsid w:val="002A5DDA"/>
    <w:rsid w:val="002A5E04"/>
    <w:rsid w:val="002A5EE5"/>
    <w:rsid w:val="002A6207"/>
    <w:rsid w:val="002A6248"/>
    <w:rsid w:val="002A6452"/>
    <w:rsid w:val="002A6566"/>
    <w:rsid w:val="002A665F"/>
    <w:rsid w:val="002A670D"/>
    <w:rsid w:val="002A676E"/>
    <w:rsid w:val="002A6770"/>
    <w:rsid w:val="002A6796"/>
    <w:rsid w:val="002A680A"/>
    <w:rsid w:val="002A692F"/>
    <w:rsid w:val="002A69C4"/>
    <w:rsid w:val="002A6B02"/>
    <w:rsid w:val="002A6C0D"/>
    <w:rsid w:val="002A7230"/>
    <w:rsid w:val="002A74DE"/>
    <w:rsid w:val="002A750F"/>
    <w:rsid w:val="002A7603"/>
    <w:rsid w:val="002A78D3"/>
    <w:rsid w:val="002A79B1"/>
    <w:rsid w:val="002A7AD8"/>
    <w:rsid w:val="002A7BF0"/>
    <w:rsid w:val="002A7C5E"/>
    <w:rsid w:val="002A7D46"/>
    <w:rsid w:val="002A7D6B"/>
    <w:rsid w:val="002A7DAE"/>
    <w:rsid w:val="002A7FB4"/>
    <w:rsid w:val="002B009E"/>
    <w:rsid w:val="002B016E"/>
    <w:rsid w:val="002B01E4"/>
    <w:rsid w:val="002B04F3"/>
    <w:rsid w:val="002B08DF"/>
    <w:rsid w:val="002B0D2D"/>
    <w:rsid w:val="002B112D"/>
    <w:rsid w:val="002B11D0"/>
    <w:rsid w:val="002B121E"/>
    <w:rsid w:val="002B13FD"/>
    <w:rsid w:val="002B1968"/>
    <w:rsid w:val="002B1A1E"/>
    <w:rsid w:val="002B1A6C"/>
    <w:rsid w:val="002B1AED"/>
    <w:rsid w:val="002B1BA2"/>
    <w:rsid w:val="002B1BC6"/>
    <w:rsid w:val="002B1C67"/>
    <w:rsid w:val="002B1C6D"/>
    <w:rsid w:val="002B1E7F"/>
    <w:rsid w:val="002B1ED4"/>
    <w:rsid w:val="002B2296"/>
    <w:rsid w:val="002B22FB"/>
    <w:rsid w:val="002B2399"/>
    <w:rsid w:val="002B2A8C"/>
    <w:rsid w:val="002B2C00"/>
    <w:rsid w:val="002B2D83"/>
    <w:rsid w:val="002B2D86"/>
    <w:rsid w:val="002B2E1B"/>
    <w:rsid w:val="002B3079"/>
    <w:rsid w:val="002B335C"/>
    <w:rsid w:val="002B339C"/>
    <w:rsid w:val="002B35B3"/>
    <w:rsid w:val="002B373B"/>
    <w:rsid w:val="002B37A8"/>
    <w:rsid w:val="002B37F1"/>
    <w:rsid w:val="002B37FA"/>
    <w:rsid w:val="002B3DE0"/>
    <w:rsid w:val="002B3FCE"/>
    <w:rsid w:val="002B4004"/>
    <w:rsid w:val="002B4236"/>
    <w:rsid w:val="002B42A9"/>
    <w:rsid w:val="002B434B"/>
    <w:rsid w:val="002B43DE"/>
    <w:rsid w:val="002B4404"/>
    <w:rsid w:val="002B44DF"/>
    <w:rsid w:val="002B4930"/>
    <w:rsid w:val="002B494A"/>
    <w:rsid w:val="002B498F"/>
    <w:rsid w:val="002B4CBE"/>
    <w:rsid w:val="002B4CE4"/>
    <w:rsid w:val="002B4E39"/>
    <w:rsid w:val="002B4E7B"/>
    <w:rsid w:val="002B4FE3"/>
    <w:rsid w:val="002B5380"/>
    <w:rsid w:val="002B5462"/>
    <w:rsid w:val="002B5510"/>
    <w:rsid w:val="002B5592"/>
    <w:rsid w:val="002B567D"/>
    <w:rsid w:val="002B57D8"/>
    <w:rsid w:val="002B5B34"/>
    <w:rsid w:val="002B5B5A"/>
    <w:rsid w:val="002B5FE3"/>
    <w:rsid w:val="002B60BC"/>
    <w:rsid w:val="002B62E3"/>
    <w:rsid w:val="002B64F4"/>
    <w:rsid w:val="002B6536"/>
    <w:rsid w:val="002B669A"/>
    <w:rsid w:val="002B66CE"/>
    <w:rsid w:val="002B66F5"/>
    <w:rsid w:val="002B66F9"/>
    <w:rsid w:val="002B67D6"/>
    <w:rsid w:val="002B68B7"/>
    <w:rsid w:val="002B6ABC"/>
    <w:rsid w:val="002B6AD7"/>
    <w:rsid w:val="002B6B0A"/>
    <w:rsid w:val="002B6CB3"/>
    <w:rsid w:val="002B6D8B"/>
    <w:rsid w:val="002B6F37"/>
    <w:rsid w:val="002B6FD2"/>
    <w:rsid w:val="002B6FEF"/>
    <w:rsid w:val="002B70B2"/>
    <w:rsid w:val="002B70C0"/>
    <w:rsid w:val="002B71D7"/>
    <w:rsid w:val="002B78E0"/>
    <w:rsid w:val="002B7905"/>
    <w:rsid w:val="002B7934"/>
    <w:rsid w:val="002B7A0F"/>
    <w:rsid w:val="002B7AA5"/>
    <w:rsid w:val="002B7BD7"/>
    <w:rsid w:val="002B7E6C"/>
    <w:rsid w:val="002C0174"/>
    <w:rsid w:val="002C0509"/>
    <w:rsid w:val="002C0740"/>
    <w:rsid w:val="002C0741"/>
    <w:rsid w:val="002C08E3"/>
    <w:rsid w:val="002C092B"/>
    <w:rsid w:val="002C09DD"/>
    <w:rsid w:val="002C0A5E"/>
    <w:rsid w:val="002C0A94"/>
    <w:rsid w:val="002C0C4D"/>
    <w:rsid w:val="002C0CF2"/>
    <w:rsid w:val="002C0DE8"/>
    <w:rsid w:val="002C0F25"/>
    <w:rsid w:val="002C0FE3"/>
    <w:rsid w:val="002C10D3"/>
    <w:rsid w:val="002C11A0"/>
    <w:rsid w:val="002C1229"/>
    <w:rsid w:val="002C1272"/>
    <w:rsid w:val="002C132F"/>
    <w:rsid w:val="002C16DB"/>
    <w:rsid w:val="002C1703"/>
    <w:rsid w:val="002C180D"/>
    <w:rsid w:val="002C1959"/>
    <w:rsid w:val="002C1B47"/>
    <w:rsid w:val="002C1C37"/>
    <w:rsid w:val="002C1C8E"/>
    <w:rsid w:val="002C1FA3"/>
    <w:rsid w:val="002C1FB2"/>
    <w:rsid w:val="002C1FFC"/>
    <w:rsid w:val="002C23E7"/>
    <w:rsid w:val="002C2426"/>
    <w:rsid w:val="002C24AA"/>
    <w:rsid w:val="002C27E4"/>
    <w:rsid w:val="002C2802"/>
    <w:rsid w:val="002C28C8"/>
    <w:rsid w:val="002C2B84"/>
    <w:rsid w:val="002C2D45"/>
    <w:rsid w:val="002C30E6"/>
    <w:rsid w:val="002C310C"/>
    <w:rsid w:val="002C3161"/>
    <w:rsid w:val="002C3178"/>
    <w:rsid w:val="002C3227"/>
    <w:rsid w:val="002C3378"/>
    <w:rsid w:val="002C35CE"/>
    <w:rsid w:val="002C3788"/>
    <w:rsid w:val="002C3801"/>
    <w:rsid w:val="002C3C35"/>
    <w:rsid w:val="002C3C4A"/>
    <w:rsid w:val="002C3E77"/>
    <w:rsid w:val="002C4021"/>
    <w:rsid w:val="002C410A"/>
    <w:rsid w:val="002C4204"/>
    <w:rsid w:val="002C421E"/>
    <w:rsid w:val="002C43B6"/>
    <w:rsid w:val="002C44F3"/>
    <w:rsid w:val="002C458D"/>
    <w:rsid w:val="002C47A8"/>
    <w:rsid w:val="002C48CB"/>
    <w:rsid w:val="002C491F"/>
    <w:rsid w:val="002C499D"/>
    <w:rsid w:val="002C49AC"/>
    <w:rsid w:val="002C4A78"/>
    <w:rsid w:val="002C4AEA"/>
    <w:rsid w:val="002C4BE9"/>
    <w:rsid w:val="002C4C02"/>
    <w:rsid w:val="002C4EE6"/>
    <w:rsid w:val="002C4F48"/>
    <w:rsid w:val="002C4FCB"/>
    <w:rsid w:val="002C51A0"/>
    <w:rsid w:val="002C5250"/>
    <w:rsid w:val="002C529E"/>
    <w:rsid w:val="002C5426"/>
    <w:rsid w:val="002C567B"/>
    <w:rsid w:val="002C5705"/>
    <w:rsid w:val="002C571F"/>
    <w:rsid w:val="002C58A2"/>
    <w:rsid w:val="002C596E"/>
    <w:rsid w:val="002C5A87"/>
    <w:rsid w:val="002C5AA3"/>
    <w:rsid w:val="002C5B62"/>
    <w:rsid w:val="002C5BD8"/>
    <w:rsid w:val="002C5EB8"/>
    <w:rsid w:val="002C5F69"/>
    <w:rsid w:val="002C6022"/>
    <w:rsid w:val="002C60B7"/>
    <w:rsid w:val="002C61EA"/>
    <w:rsid w:val="002C6340"/>
    <w:rsid w:val="002C63EB"/>
    <w:rsid w:val="002C651E"/>
    <w:rsid w:val="002C6662"/>
    <w:rsid w:val="002C666A"/>
    <w:rsid w:val="002C6897"/>
    <w:rsid w:val="002C6A5E"/>
    <w:rsid w:val="002C6A84"/>
    <w:rsid w:val="002C6BCC"/>
    <w:rsid w:val="002C6CB8"/>
    <w:rsid w:val="002C6CF9"/>
    <w:rsid w:val="002C6D89"/>
    <w:rsid w:val="002C6D99"/>
    <w:rsid w:val="002C6EB0"/>
    <w:rsid w:val="002C6FDB"/>
    <w:rsid w:val="002C731F"/>
    <w:rsid w:val="002C7388"/>
    <w:rsid w:val="002C7397"/>
    <w:rsid w:val="002C76E4"/>
    <w:rsid w:val="002C7974"/>
    <w:rsid w:val="002C7AA2"/>
    <w:rsid w:val="002C7B91"/>
    <w:rsid w:val="002C7C1E"/>
    <w:rsid w:val="002C7CB2"/>
    <w:rsid w:val="002C7D79"/>
    <w:rsid w:val="002C7EB4"/>
    <w:rsid w:val="002C7F7D"/>
    <w:rsid w:val="002D0420"/>
    <w:rsid w:val="002D054F"/>
    <w:rsid w:val="002D05EF"/>
    <w:rsid w:val="002D06CE"/>
    <w:rsid w:val="002D0937"/>
    <w:rsid w:val="002D0AA0"/>
    <w:rsid w:val="002D0B80"/>
    <w:rsid w:val="002D0CCC"/>
    <w:rsid w:val="002D0CFC"/>
    <w:rsid w:val="002D116C"/>
    <w:rsid w:val="002D120E"/>
    <w:rsid w:val="002D1274"/>
    <w:rsid w:val="002D13B4"/>
    <w:rsid w:val="002D1493"/>
    <w:rsid w:val="002D159C"/>
    <w:rsid w:val="002D16B7"/>
    <w:rsid w:val="002D16FC"/>
    <w:rsid w:val="002D1776"/>
    <w:rsid w:val="002D1816"/>
    <w:rsid w:val="002D1C16"/>
    <w:rsid w:val="002D1EEE"/>
    <w:rsid w:val="002D20BB"/>
    <w:rsid w:val="002D2182"/>
    <w:rsid w:val="002D228E"/>
    <w:rsid w:val="002D231A"/>
    <w:rsid w:val="002D243F"/>
    <w:rsid w:val="002D2592"/>
    <w:rsid w:val="002D263A"/>
    <w:rsid w:val="002D2701"/>
    <w:rsid w:val="002D272E"/>
    <w:rsid w:val="002D277F"/>
    <w:rsid w:val="002D285E"/>
    <w:rsid w:val="002D294F"/>
    <w:rsid w:val="002D2B31"/>
    <w:rsid w:val="002D2C28"/>
    <w:rsid w:val="002D2C54"/>
    <w:rsid w:val="002D2D0B"/>
    <w:rsid w:val="002D2E28"/>
    <w:rsid w:val="002D3131"/>
    <w:rsid w:val="002D31DF"/>
    <w:rsid w:val="002D3248"/>
    <w:rsid w:val="002D327A"/>
    <w:rsid w:val="002D361B"/>
    <w:rsid w:val="002D3771"/>
    <w:rsid w:val="002D3881"/>
    <w:rsid w:val="002D38B2"/>
    <w:rsid w:val="002D38DD"/>
    <w:rsid w:val="002D39DF"/>
    <w:rsid w:val="002D3AC9"/>
    <w:rsid w:val="002D3C7A"/>
    <w:rsid w:val="002D3D47"/>
    <w:rsid w:val="002D3D68"/>
    <w:rsid w:val="002D3DF7"/>
    <w:rsid w:val="002D3E32"/>
    <w:rsid w:val="002D4093"/>
    <w:rsid w:val="002D4133"/>
    <w:rsid w:val="002D42E1"/>
    <w:rsid w:val="002D4478"/>
    <w:rsid w:val="002D452A"/>
    <w:rsid w:val="002D4553"/>
    <w:rsid w:val="002D491C"/>
    <w:rsid w:val="002D494F"/>
    <w:rsid w:val="002D4AAB"/>
    <w:rsid w:val="002D4B3B"/>
    <w:rsid w:val="002D4EE6"/>
    <w:rsid w:val="002D4FD7"/>
    <w:rsid w:val="002D5074"/>
    <w:rsid w:val="002D524D"/>
    <w:rsid w:val="002D5548"/>
    <w:rsid w:val="002D56C4"/>
    <w:rsid w:val="002D570B"/>
    <w:rsid w:val="002D5769"/>
    <w:rsid w:val="002D577E"/>
    <w:rsid w:val="002D584B"/>
    <w:rsid w:val="002D58D4"/>
    <w:rsid w:val="002D5A98"/>
    <w:rsid w:val="002D5BF1"/>
    <w:rsid w:val="002D5C53"/>
    <w:rsid w:val="002D5EB4"/>
    <w:rsid w:val="002D5F26"/>
    <w:rsid w:val="002D5FF9"/>
    <w:rsid w:val="002D6093"/>
    <w:rsid w:val="002D619C"/>
    <w:rsid w:val="002D6366"/>
    <w:rsid w:val="002D6510"/>
    <w:rsid w:val="002D655B"/>
    <w:rsid w:val="002D6643"/>
    <w:rsid w:val="002D6671"/>
    <w:rsid w:val="002D66B1"/>
    <w:rsid w:val="002D66DD"/>
    <w:rsid w:val="002D67D9"/>
    <w:rsid w:val="002D6897"/>
    <w:rsid w:val="002D68BA"/>
    <w:rsid w:val="002D68BB"/>
    <w:rsid w:val="002D697B"/>
    <w:rsid w:val="002D6B71"/>
    <w:rsid w:val="002D6C96"/>
    <w:rsid w:val="002D6D76"/>
    <w:rsid w:val="002D6D7B"/>
    <w:rsid w:val="002D7109"/>
    <w:rsid w:val="002D7227"/>
    <w:rsid w:val="002D731D"/>
    <w:rsid w:val="002D7373"/>
    <w:rsid w:val="002D75FE"/>
    <w:rsid w:val="002D7A58"/>
    <w:rsid w:val="002D7A90"/>
    <w:rsid w:val="002D7AF2"/>
    <w:rsid w:val="002D7BE9"/>
    <w:rsid w:val="002D7F70"/>
    <w:rsid w:val="002E016F"/>
    <w:rsid w:val="002E021F"/>
    <w:rsid w:val="002E084F"/>
    <w:rsid w:val="002E0941"/>
    <w:rsid w:val="002E099D"/>
    <w:rsid w:val="002E0CD4"/>
    <w:rsid w:val="002E0D4A"/>
    <w:rsid w:val="002E0DB5"/>
    <w:rsid w:val="002E0F77"/>
    <w:rsid w:val="002E10A2"/>
    <w:rsid w:val="002E1180"/>
    <w:rsid w:val="002E13F5"/>
    <w:rsid w:val="002E1421"/>
    <w:rsid w:val="002E149C"/>
    <w:rsid w:val="002E1568"/>
    <w:rsid w:val="002E16C6"/>
    <w:rsid w:val="002E17B1"/>
    <w:rsid w:val="002E184E"/>
    <w:rsid w:val="002E1E13"/>
    <w:rsid w:val="002E1E14"/>
    <w:rsid w:val="002E1E88"/>
    <w:rsid w:val="002E1EEB"/>
    <w:rsid w:val="002E1FB4"/>
    <w:rsid w:val="002E20AC"/>
    <w:rsid w:val="002E20F6"/>
    <w:rsid w:val="002E21F0"/>
    <w:rsid w:val="002E25A7"/>
    <w:rsid w:val="002E2817"/>
    <w:rsid w:val="002E2885"/>
    <w:rsid w:val="002E2945"/>
    <w:rsid w:val="002E2970"/>
    <w:rsid w:val="002E29FB"/>
    <w:rsid w:val="002E3298"/>
    <w:rsid w:val="002E33C2"/>
    <w:rsid w:val="002E33E4"/>
    <w:rsid w:val="002E3403"/>
    <w:rsid w:val="002E36BC"/>
    <w:rsid w:val="002E3704"/>
    <w:rsid w:val="002E3964"/>
    <w:rsid w:val="002E39AF"/>
    <w:rsid w:val="002E3A7D"/>
    <w:rsid w:val="002E3AFA"/>
    <w:rsid w:val="002E3CFF"/>
    <w:rsid w:val="002E3F54"/>
    <w:rsid w:val="002E3FC8"/>
    <w:rsid w:val="002E4010"/>
    <w:rsid w:val="002E414E"/>
    <w:rsid w:val="002E4528"/>
    <w:rsid w:val="002E454B"/>
    <w:rsid w:val="002E4555"/>
    <w:rsid w:val="002E45DE"/>
    <w:rsid w:val="002E46BC"/>
    <w:rsid w:val="002E4769"/>
    <w:rsid w:val="002E47E6"/>
    <w:rsid w:val="002E487D"/>
    <w:rsid w:val="002E494B"/>
    <w:rsid w:val="002E4AD1"/>
    <w:rsid w:val="002E4B10"/>
    <w:rsid w:val="002E4B71"/>
    <w:rsid w:val="002E4B7C"/>
    <w:rsid w:val="002E4BD4"/>
    <w:rsid w:val="002E4BFD"/>
    <w:rsid w:val="002E4C0C"/>
    <w:rsid w:val="002E4D3B"/>
    <w:rsid w:val="002E4E1B"/>
    <w:rsid w:val="002E5229"/>
    <w:rsid w:val="002E595E"/>
    <w:rsid w:val="002E59FC"/>
    <w:rsid w:val="002E5CDB"/>
    <w:rsid w:val="002E5D4B"/>
    <w:rsid w:val="002E5D81"/>
    <w:rsid w:val="002E5E13"/>
    <w:rsid w:val="002E5F00"/>
    <w:rsid w:val="002E5F57"/>
    <w:rsid w:val="002E5F7A"/>
    <w:rsid w:val="002E5FC0"/>
    <w:rsid w:val="002E6137"/>
    <w:rsid w:val="002E6159"/>
    <w:rsid w:val="002E6165"/>
    <w:rsid w:val="002E625E"/>
    <w:rsid w:val="002E6551"/>
    <w:rsid w:val="002E677B"/>
    <w:rsid w:val="002E67A9"/>
    <w:rsid w:val="002E6810"/>
    <w:rsid w:val="002E6818"/>
    <w:rsid w:val="002E693F"/>
    <w:rsid w:val="002E6A04"/>
    <w:rsid w:val="002E6A8C"/>
    <w:rsid w:val="002E6B70"/>
    <w:rsid w:val="002E6DF5"/>
    <w:rsid w:val="002E7006"/>
    <w:rsid w:val="002E73CC"/>
    <w:rsid w:val="002E7410"/>
    <w:rsid w:val="002E7500"/>
    <w:rsid w:val="002E75A7"/>
    <w:rsid w:val="002E7693"/>
    <w:rsid w:val="002E772C"/>
    <w:rsid w:val="002E7BDE"/>
    <w:rsid w:val="002E7CC1"/>
    <w:rsid w:val="002E7D07"/>
    <w:rsid w:val="002E7E57"/>
    <w:rsid w:val="002F006C"/>
    <w:rsid w:val="002F00BE"/>
    <w:rsid w:val="002F0141"/>
    <w:rsid w:val="002F01D1"/>
    <w:rsid w:val="002F03C7"/>
    <w:rsid w:val="002F045B"/>
    <w:rsid w:val="002F0535"/>
    <w:rsid w:val="002F0620"/>
    <w:rsid w:val="002F078C"/>
    <w:rsid w:val="002F0855"/>
    <w:rsid w:val="002F08A2"/>
    <w:rsid w:val="002F09D2"/>
    <w:rsid w:val="002F09F2"/>
    <w:rsid w:val="002F0D22"/>
    <w:rsid w:val="002F0F41"/>
    <w:rsid w:val="002F101E"/>
    <w:rsid w:val="002F1031"/>
    <w:rsid w:val="002F10BE"/>
    <w:rsid w:val="002F119E"/>
    <w:rsid w:val="002F1201"/>
    <w:rsid w:val="002F1450"/>
    <w:rsid w:val="002F157B"/>
    <w:rsid w:val="002F17C7"/>
    <w:rsid w:val="002F1929"/>
    <w:rsid w:val="002F192D"/>
    <w:rsid w:val="002F1A8F"/>
    <w:rsid w:val="002F1B34"/>
    <w:rsid w:val="002F1CE4"/>
    <w:rsid w:val="002F1E80"/>
    <w:rsid w:val="002F1F88"/>
    <w:rsid w:val="002F202A"/>
    <w:rsid w:val="002F207F"/>
    <w:rsid w:val="002F21AB"/>
    <w:rsid w:val="002F21E3"/>
    <w:rsid w:val="002F2210"/>
    <w:rsid w:val="002F23BA"/>
    <w:rsid w:val="002F27D9"/>
    <w:rsid w:val="002F2882"/>
    <w:rsid w:val="002F2883"/>
    <w:rsid w:val="002F2884"/>
    <w:rsid w:val="002F2A69"/>
    <w:rsid w:val="002F2B25"/>
    <w:rsid w:val="002F2BAC"/>
    <w:rsid w:val="002F2BD3"/>
    <w:rsid w:val="002F2C67"/>
    <w:rsid w:val="002F2EA3"/>
    <w:rsid w:val="002F3047"/>
    <w:rsid w:val="002F32E2"/>
    <w:rsid w:val="002F345B"/>
    <w:rsid w:val="002F351E"/>
    <w:rsid w:val="002F35E6"/>
    <w:rsid w:val="002F3886"/>
    <w:rsid w:val="002F3895"/>
    <w:rsid w:val="002F39B0"/>
    <w:rsid w:val="002F3AEE"/>
    <w:rsid w:val="002F3D1D"/>
    <w:rsid w:val="002F3D80"/>
    <w:rsid w:val="002F3ECC"/>
    <w:rsid w:val="002F3F81"/>
    <w:rsid w:val="002F3FB3"/>
    <w:rsid w:val="002F3FF7"/>
    <w:rsid w:val="002F42CB"/>
    <w:rsid w:val="002F463A"/>
    <w:rsid w:val="002F48FF"/>
    <w:rsid w:val="002F4928"/>
    <w:rsid w:val="002F4961"/>
    <w:rsid w:val="002F4BC1"/>
    <w:rsid w:val="002F4D6D"/>
    <w:rsid w:val="002F52D0"/>
    <w:rsid w:val="002F5327"/>
    <w:rsid w:val="002F55FC"/>
    <w:rsid w:val="002F56BC"/>
    <w:rsid w:val="002F583B"/>
    <w:rsid w:val="002F58E0"/>
    <w:rsid w:val="002F591F"/>
    <w:rsid w:val="002F5AAC"/>
    <w:rsid w:val="002F5AF6"/>
    <w:rsid w:val="002F5B77"/>
    <w:rsid w:val="002F5B97"/>
    <w:rsid w:val="002F5C90"/>
    <w:rsid w:val="002F5CA9"/>
    <w:rsid w:val="002F5CC0"/>
    <w:rsid w:val="002F5D28"/>
    <w:rsid w:val="002F5F6A"/>
    <w:rsid w:val="002F610C"/>
    <w:rsid w:val="002F6115"/>
    <w:rsid w:val="002F612A"/>
    <w:rsid w:val="002F63B4"/>
    <w:rsid w:val="002F6769"/>
    <w:rsid w:val="002F67BA"/>
    <w:rsid w:val="002F68E9"/>
    <w:rsid w:val="002F691D"/>
    <w:rsid w:val="002F69F0"/>
    <w:rsid w:val="002F6B57"/>
    <w:rsid w:val="002F6CC6"/>
    <w:rsid w:val="002F6D8C"/>
    <w:rsid w:val="002F6FE1"/>
    <w:rsid w:val="002F70A1"/>
    <w:rsid w:val="002F72B9"/>
    <w:rsid w:val="002F7326"/>
    <w:rsid w:val="002F73A2"/>
    <w:rsid w:val="002F73F3"/>
    <w:rsid w:val="002F74A5"/>
    <w:rsid w:val="002F78E9"/>
    <w:rsid w:val="002F7B3A"/>
    <w:rsid w:val="002F7CFB"/>
    <w:rsid w:val="002F7D4C"/>
    <w:rsid w:val="002F7E8A"/>
    <w:rsid w:val="002F7FDB"/>
    <w:rsid w:val="00300078"/>
    <w:rsid w:val="003002D3"/>
    <w:rsid w:val="0030043E"/>
    <w:rsid w:val="003004BF"/>
    <w:rsid w:val="00300535"/>
    <w:rsid w:val="0030054E"/>
    <w:rsid w:val="0030059C"/>
    <w:rsid w:val="00300739"/>
    <w:rsid w:val="003007E3"/>
    <w:rsid w:val="00300853"/>
    <w:rsid w:val="0030085C"/>
    <w:rsid w:val="00300BBE"/>
    <w:rsid w:val="00300C15"/>
    <w:rsid w:val="00300D2D"/>
    <w:rsid w:val="00300E57"/>
    <w:rsid w:val="00300E63"/>
    <w:rsid w:val="00300F13"/>
    <w:rsid w:val="00300F32"/>
    <w:rsid w:val="003010D6"/>
    <w:rsid w:val="00301188"/>
    <w:rsid w:val="003014D9"/>
    <w:rsid w:val="003014DF"/>
    <w:rsid w:val="003015C3"/>
    <w:rsid w:val="0030181D"/>
    <w:rsid w:val="003019A9"/>
    <w:rsid w:val="00301B9D"/>
    <w:rsid w:val="00301C48"/>
    <w:rsid w:val="00301CC5"/>
    <w:rsid w:val="00301E8C"/>
    <w:rsid w:val="00301FDA"/>
    <w:rsid w:val="00302185"/>
    <w:rsid w:val="00302548"/>
    <w:rsid w:val="00302757"/>
    <w:rsid w:val="00302AF0"/>
    <w:rsid w:val="00302C25"/>
    <w:rsid w:val="00302C73"/>
    <w:rsid w:val="00302D84"/>
    <w:rsid w:val="00302EEE"/>
    <w:rsid w:val="00303044"/>
    <w:rsid w:val="003030DC"/>
    <w:rsid w:val="003031F6"/>
    <w:rsid w:val="003032C6"/>
    <w:rsid w:val="00303303"/>
    <w:rsid w:val="003033C7"/>
    <w:rsid w:val="003034F6"/>
    <w:rsid w:val="00303779"/>
    <w:rsid w:val="00303824"/>
    <w:rsid w:val="00303BC7"/>
    <w:rsid w:val="00303C2B"/>
    <w:rsid w:val="00303D07"/>
    <w:rsid w:val="00304250"/>
    <w:rsid w:val="00304278"/>
    <w:rsid w:val="0030427E"/>
    <w:rsid w:val="00304483"/>
    <w:rsid w:val="003045FD"/>
    <w:rsid w:val="00304671"/>
    <w:rsid w:val="00304684"/>
    <w:rsid w:val="003046B5"/>
    <w:rsid w:val="00304735"/>
    <w:rsid w:val="003047B4"/>
    <w:rsid w:val="00304B27"/>
    <w:rsid w:val="00304CA9"/>
    <w:rsid w:val="00304D42"/>
    <w:rsid w:val="00304DA7"/>
    <w:rsid w:val="0030505A"/>
    <w:rsid w:val="00305090"/>
    <w:rsid w:val="003051EE"/>
    <w:rsid w:val="003052D6"/>
    <w:rsid w:val="00305399"/>
    <w:rsid w:val="00305624"/>
    <w:rsid w:val="0030586C"/>
    <w:rsid w:val="00305872"/>
    <w:rsid w:val="00305BE2"/>
    <w:rsid w:val="00305BFE"/>
    <w:rsid w:val="00305C62"/>
    <w:rsid w:val="00305CA9"/>
    <w:rsid w:val="00305E8D"/>
    <w:rsid w:val="0030607B"/>
    <w:rsid w:val="0030608E"/>
    <w:rsid w:val="003061C2"/>
    <w:rsid w:val="003062EB"/>
    <w:rsid w:val="00306389"/>
    <w:rsid w:val="003063EC"/>
    <w:rsid w:val="0030644C"/>
    <w:rsid w:val="003064AE"/>
    <w:rsid w:val="003066B1"/>
    <w:rsid w:val="00306952"/>
    <w:rsid w:val="00306A85"/>
    <w:rsid w:val="00306AB1"/>
    <w:rsid w:val="00306D3E"/>
    <w:rsid w:val="00306E93"/>
    <w:rsid w:val="00306F2A"/>
    <w:rsid w:val="00306FCD"/>
    <w:rsid w:val="00307050"/>
    <w:rsid w:val="003071B6"/>
    <w:rsid w:val="003071B8"/>
    <w:rsid w:val="003071CF"/>
    <w:rsid w:val="003071D7"/>
    <w:rsid w:val="00307480"/>
    <w:rsid w:val="003077EA"/>
    <w:rsid w:val="00307A63"/>
    <w:rsid w:val="00307AA6"/>
    <w:rsid w:val="00307BA2"/>
    <w:rsid w:val="00307D48"/>
    <w:rsid w:val="00307D7C"/>
    <w:rsid w:val="00307EE9"/>
    <w:rsid w:val="00310098"/>
    <w:rsid w:val="0031012F"/>
    <w:rsid w:val="00310165"/>
    <w:rsid w:val="003102F5"/>
    <w:rsid w:val="00310390"/>
    <w:rsid w:val="003103C5"/>
    <w:rsid w:val="003104DD"/>
    <w:rsid w:val="0031076D"/>
    <w:rsid w:val="003107C6"/>
    <w:rsid w:val="00310D1C"/>
    <w:rsid w:val="00310DD8"/>
    <w:rsid w:val="00310F0C"/>
    <w:rsid w:val="00310FDC"/>
    <w:rsid w:val="00311027"/>
    <w:rsid w:val="00311115"/>
    <w:rsid w:val="00311538"/>
    <w:rsid w:val="003115AD"/>
    <w:rsid w:val="003115B3"/>
    <w:rsid w:val="00311729"/>
    <w:rsid w:val="0031197D"/>
    <w:rsid w:val="00311CC5"/>
    <w:rsid w:val="00311CD2"/>
    <w:rsid w:val="00311D95"/>
    <w:rsid w:val="00311D9E"/>
    <w:rsid w:val="00311FC4"/>
    <w:rsid w:val="00311FD5"/>
    <w:rsid w:val="00312083"/>
    <w:rsid w:val="0031212F"/>
    <w:rsid w:val="00312223"/>
    <w:rsid w:val="0031249E"/>
    <w:rsid w:val="00312853"/>
    <w:rsid w:val="00312DA8"/>
    <w:rsid w:val="00313162"/>
    <w:rsid w:val="00313219"/>
    <w:rsid w:val="00313285"/>
    <w:rsid w:val="003133E9"/>
    <w:rsid w:val="00313436"/>
    <w:rsid w:val="003135EB"/>
    <w:rsid w:val="00313737"/>
    <w:rsid w:val="003138F1"/>
    <w:rsid w:val="003139E1"/>
    <w:rsid w:val="00313A16"/>
    <w:rsid w:val="00313AA0"/>
    <w:rsid w:val="00313ED1"/>
    <w:rsid w:val="00313EF8"/>
    <w:rsid w:val="00314002"/>
    <w:rsid w:val="0031422B"/>
    <w:rsid w:val="00314399"/>
    <w:rsid w:val="003144CE"/>
    <w:rsid w:val="0031460F"/>
    <w:rsid w:val="003147B4"/>
    <w:rsid w:val="003148D4"/>
    <w:rsid w:val="003148D6"/>
    <w:rsid w:val="0031497D"/>
    <w:rsid w:val="00314AA5"/>
    <w:rsid w:val="00314D42"/>
    <w:rsid w:val="00314E18"/>
    <w:rsid w:val="00314E3B"/>
    <w:rsid w:val="00314E8F"/>
    <w:rsid w:val="00314EAD"/>
    <w:rsid w:val="00314F1C"/>
    <w:rsid w:val="00314F49"/>
    <w:rsid w:val="00315013"/>
    <w:rsid w:val="0031522C"/>
    <w:rsid w:val="00315303"/>
    <w:rsid w:val="00315329"/>
    <w:rsid w:val="003153D8"/>
    <w:rsid w:val="0031554B"/>
    <w:rsid w:val="0031568E"/>
    <w:rsid w:val="003156EB"/>
    <w:rsid w:val="0031580B"/>
    <w:rsid w:val="0031599F"/>
    <w:rsid w:val="00315ACE"/>
    <w:rsid w:val="00315BC1"/>
    <w:rsid w:val="00315C9E"/>
    <w:rsid w:val="00315F49"/>
    <w:rsid w:val="0031603C"/>
    <w:rsid w:val="00316214"/>
    <w:rsid w:val="00316271"/>
    <w:rsid w:val="00316330"/>
    <w:rsid w:val="003168F9"/>
    <w:rsid w:val="00316A43"/>
    <w:rsid w:val="00316C4C"/>
    <w:rsid w:val="00316CD1"/>
    <w:rsid w:val="00316D94"/>
    <w:rsid w:val="003172D5"/>
    <w:rsid w:val="00317328"/>
    <w:rsid w:val="00317556"/>
    <w:rsid w:val="00317592"/>
    <w:rsid w:val="003175CA"/>
    <w:rsid w:val="0031765C"/>
    <w:rsid w:val="00317914"/>
    <w:rsid w:val="00317945"/>
    <w:rsid w:val="00317A5B"/>
    <w:rsid w:val="00317ACB"/>
    <w:rsid w:val="00317C56"/>
    <w:rsid w:val="00317FCB"/>
    <w:rsid w:val="003201D9"/>
    <w:rsid w:val="0032033C"/>
    <w:rsid w:val="0032034C"/>
    <w:rsid w:val="003203CA"/>
    <w:rsid w:val="00320458"/>
    <w:rsid w:val="003204B3"/>
    <w:rsid w:val="00320552"/>
    <w:rsid w:val="003205CC"/>
    <w:rsid w:val="0032061A"/>
    <w:rsid w:val="003206C2"/>
    <w:rsid w:val="00320759"/>
    <w:rsid w:val="0032087F"/>
    <w:rsid w:val="003209D9"/>
    <w:rsid w:val="00320AB7"/>
    <w:rsid w:val="00320C03"/>
    <w:rsid w:val="00320C3E"/>
    <w:rsid w:val="00320C52"/>
    <w:rsid w:val="00320E1E"/>
    <w:rsid w:val="00320F05"/>
    <w:rsid w:val="00321103"/>
    <w:rsid w:val="00321114"/>
    <w:rsid w:val="00321128"/>
    <w:rsid w:val="00321297"/>
    <w:rsid w:val="0032134C"/>
    <w:rsid w:val="003215E7"/>
    <w:rsid w:val="0032191F"/>
    <w:rsid w:val="0032193C"/>
    <w:rsid w:val="00321B29"/>
    <w:rsid w:val="00321CEA"/>
    <w:rsid w:val="00321E66"/>
    <w:rsid w:val="00321F49"/>
    <w:rsid w:val="003222B4"/>
    <w:rsid w:val="003223B5"/>
    <w:rsid w:val="0032248B"/>
    <w:rsid w:val="003224CF"/>
    <w:rsid w:val="00322536"/>
    <w:rsid w:val="003225D9"/>
    <w:rsid w:val="003227D3"/>
    <w:rsid w:val="0032283D"/>
    <w:rsid w:val="003229F3"/>
    <w:rsid w:val="00322A48"/>
    <w:rsid w:val="00322AB9"/>
    <w:rsid w:val="00322C4C"/>
    <w:rsid w:val="00322F33"/>
    <w:rsid w:val="00322F80"/>
    <w:rsid w:val="00322FD1"/>
    <w:rsid w:val="00322FEF"/>
    <w:rsid w:val="003230B1"/>
    <w:rsid w:val="00323178"/>
    <w:rsid w:val="003231DA"/>
    <w:rsid w:val="003231EE"/>
    <w:rsid w:val="003233D6"/>
    <w:rsid w:val="003236AB"/>
    <w:rsid w:val="003236B7"/>
    <w:rsid w:val="00323798"/>
    <w:rsid w:val="00323A3B"/>
    <w:rsid w:val="00323B33"/>
    <w:rsid w:val="00323CD1"/>
    <w:rsid w:val="00323D4D"/>
    <w:rsid w:val="00323EF6"/>
    <w:rsid w:val="00323FB3"/>
    <w:rsid w:val="0032400D"/>
    <w:rsid w:val="003240C3"/>
    <w:rsid w:val="003242B6"/>
    <w:rsid w:val="00324577"/>
    <w:rsid w:val="00324860"/>
    <w:rsid w:val="003248C3"/>
    <w:rsid w:val="0032494D"/>
    <w:rsid w:val="00324A04"/>
    <w:rsid w:val="00324BD4"/>
    <w:rsid w:val="00324BE9"/>
    <w:rsid w:val="00324C27"/>
    <w:rsid w:val="00324D46"/>
    <w:rsid w:val="00324FBE"/>
    <w:rsid w:val="003252AE"/>
    <w:rsid w:val="0032539E"/>
    <w:rsid w:val="00325577"/>
    <w:rsid w:val="003255AC"/>
    <w:rsid w:val="003256D3"/>
    <w:rsid w:val="00325791"/>
    <w:rsid w:val="003257BD"/>
    <w:rsid w:val="00325D8C"/>
    <w:rsid w:val="00325F22"/>
    <w:rsid w:val="00326078"/>
    <w:rsid w:val="003260B4"/>
    <w:rsid w:val="0032639E"/>
    <w:rsid w:val="00326442"/>
    <w:rsid w:val="00326923"/>
    <w:rsid w:val="00326A03"/>
    <w:rsid w:val="00326BC0"/>
    <w:rsid w:val="00326BCF"/>
    <w:rsid w:val="00326D08"/>
    <w:rsid w:val="00326D4E"/>
    <w:rsid w:val="00326E12"/>
    <w:rsid w:val="00326EBF"/>
    <w:rsid w:val="00326FA5"/>
    <w:rsid w:val="0032705A"/>
    <w:rsid w:val="0032709A"/>
    <w:rsid w:val="0032732E"/>
    <w:rsid w:val="0032740E"/>
    <w:rsid w:val="00327639"/>
    <w:rsid w:val="0032771E"/>
    <w:rsid w:val="0032775D"/>
    <w:rsid w:val="003277B1"/>
    <w:rsid w:val="003278F8"/>
    <w:rsid w:val="00327C30"/>
    <w:rsid w:val="00327D91"/>
    <w:rsid w:val="00327DE9"/>
    <w:rsid w:val="00327E88"/>
    <w:rsid w:val="00330277"/>
    <w:rsid w:val="003304F7"/>
    <w:rsid w:val="003306DB"/>
    <w:rsid w:val="00330859"/>
    <w:rsid w:val="00330972"/>
    <w:rsid w:val="003309FE"/>
    <w:rsid w:val="00330BFD"/>
    <w:rsid w:val="00330E68"/>
    <w:rsid w:val="003312C6"/>
    <w:rsid w:val="003312D5"/>
    <w:rsid w:val="0033134A"/>
    <w:rsid w:val="00331424"/>
    <w:rsid w:val="003314FA"/>
    <w:rsid w:val="003316D6"/>
    <w:rsid w:val="003319D2"/>
    <w:rsid w:val="00331C61"/>
    <w:rsid w:val="00331F32"/>
    <w:rsid w:val="00331F54"/>
    <w:rsid w:val="0033223F"/>
    <w:rsid w:val="00332302"/>
    <w:rsid w:val="0033235B"/>
    <w:rsid w:val="003323B9"/>
    <w:rsid w:val="0033250B"/>
    <w:rsid w:val="0033254A"/>
    <w:rsid w:val="00332628"/>
    <w:rsid w:val="00332647"/>
    <w:rsid w:val="00332825"/>
    <w:rsid w:val="00332A9C"/>
    <w:rsid w:val="00332B3C"/>
    <w:rsid w:val="00332B6E"/>
    <w:rsid w:val="00332DBB"/>
    <w:rsid w:val="00332EFA"/>
    <w:rsid w:val="0033307B"/>
    <w:rsid w:val="003330E4"/>
    <w:rsid w:val="0033329C"/>
    <w:rsid w:val="00333690"/>
    <w:rsid w:val="00333796"/>
    <w:rsid w:val="003338A7"/>
    <w:rsid w:val="00333BE5"/>
    <w:rsid w:val="00333F33"/>
    <w:rsid w:val="00333FA6"/>
    <w:rsid w:val="00334004"/>
    <w:rsid w:val="003341BB"/>
    <w:rsid w:val="00334331"/>
    <w:rsid w:val="00334406"/>
    <w:rsid w:val="003345FF"/>
    <w:rsid w:val="00334633"/>
    <w:rsid w:val="003346CB"/>
    <w:rsid w:val="0033499B"/>
    <w:rsid w:val="003349A0"/>
    <w:rsid w:val="00334A83"/>
    <w:rsid w:val="00334B57"/>
    <w:rsid w:val="00334C20"/>
    <w:rsid w:val="00334EFF"/>
    <w:rsid w:val="00334F46"/>
    <w:rsid w:val="003350C9"/>
    <w:rsid w:val="0033514E"/>
    <w:rsid w:val="003352B4"/>
    <w:rsid w:val="003356BA"/>
    <w:rsid w:val="00335813"/>
    <w:rsid w:val="003358F3"/>
    <w:rsid w:val="00335A26"/>
    <w:rsid w:val="00335AD5"/>
    <w:rsid w:val="00335B09"/>
    <w:rsid w:val="00335BC5"/>
    <w:rsid w:val="00335BF2"/>
    <w:rsid w:val="00335C5F"/>
    <w:rsid w:val="00335E27"/>
    <w:rsid w:val="00335E9A"/>
    <w:rsid w:val="00335F2E"/>
    <w:rsid w:val="003360EA"/>
    <w:rsid w:val="00336155"/>
    <w:rsid w:val="00336307"/>
    <w:rsid w:val="0033636A"/>
    <w:rsid w:val="0033650D"/>
    <w:rsid w:val="003365D5"/>
    <w:rsid w:val="003365F7"/>
    <w:rsid w:val="00336844"/>
    <w:rsid w:val="00336955"/>
    <w:rsid w:val="0033695D"/>
    <w:rsid w:val="003369A7"/>
    <w:rsid w:val="00336F49"/>
    <w:rsid w:val="00337100"/>
    <w:rsid w:val="003377F7"/>
    <w:rsid w:val="003378E9"/>
    <w:rsid w:val="00340552"/>
    <w:rsid w:val="0034065F"/>
    <w:rsid w:val="003406CB"/>
    <w:rsid w:val="00340762"/>
    <w:rsid w:val="00340952"/>
    <w:rsid w:val="00340AF8"/>
    <w:rsid w:val="00340CAB"/>
    <w:rsid w:val="00340EAF"/>
    <w:rsid w:val="00341015"/>
    <w:rsid w:val="00341075"/>
    <w:rsid w:val="00341305"/>
    <w:rsid w:val="00341405"/>
    <w:rsid w:val="00341588"/>
    <w:rsid w:val="0034187E"/>
    <w:rsid w:val="0034196D"/>
    <w:rsid w:val="00341CF5"/>
    <w:rsid w:val="00341FCA"/>
    <w:rsid w:val="00342178"/>
    <w:rsid w:val="00342292"/>
    <w:rsid w:val="00342428"/>
    <w:rsid w:val="003424BD"/>
    <w:rsid w:val="0034254D"/>
    <w:rsid w:val="00342777"/>
    <w:rsid w:val="003427DE"/>
    <w:rsid w:val="003429AD"/>
    <w:rsid w:val="00342A78"/>
    <w:rsid w:val="00342AFB"/>
    <w:rsid w:val="00342E1B"/>
    <w:rsid w:val="00342F91"/>
    <w:rsid w:val="00343432"/>
    <w:rsid w:val="0034353E"/>
    <w:rsid w:val="00343549"/>
    <w:rsid w:val="00343582"/>
    <w:rsid w:val="00343608"/>
    <w:rsid w:val="003437B0"/>
    <w:rsid w:val="00343810"/>
    <w:rsid w:val="0034381B"/>
    <w:rsid w:val="003438C6"/>
    <w:rsid w:val="003439F5"/>
    <w:rsid w:val="00343AA8"/>
    <w:rsid w:val="00343AF4"/>
    <w:rsid w:val="00343B02"/>
    <w:rsid w:val="00343C4B"/>
    <w:rsid w:val="00343C88"/>
    <w:rsid w:val="00343D52"/>
    <w:rsid w:val="00344068"/>
    <w:rsid w:val="0034418A"/>
    <w:rsid w:val="003441AA"/>
    <w:rsid w:val="003441E0"/>
    <w:rsid w:val="0034427A"/>
    <w:rsid w:val="003444E6"/>
    <w:rsid w:val="003448F9"/>
    <w:rsid w:val="00344922"/>
    <w:rsid w:val="003449F4"/>
    <w:rsid w:val="00344AF0"/>
    <w:rsid w:val="00344C1A"/>
    <w:rsid w:val="00344C46"/>
    <w:rsid w:val="00344E47"/>
    <w:rsid w:val="00344EDC"/>
    <w:rsid w:val="00344EF8"/>
    <w:rsid w:val="00344F12"/>
    <w:rsid w:val="00344F16"/>
    <w:rsid w:val="00344F1A"/>
    <w:rsid w:val="00344F7E"/>
    <w:rsid w:val="0034516E"/>
    <w:rsid w:val="00345223"/>
    <w:rsid w:val="003454B0"/>
    <w:rsid w:val="00345627"/>
    <w:rsid w:val="00345728"/>
    <w:rsid w:val="003457DD"/>
    <w:rsid w:val="00345A59"/>
    <w:rsid w:val="00345C90"/>
    <w:rsid w:val="00345CF5"/>
    <w:rsid w:val="00345F32"/>
    <w:rsid w:val="00345F9C"/>
    <w:rsid w:val="00345FA7"/>
    <w:rsid w:val="0034605A"/>
    <w:rsid w:val="003460DD"/>
    <w:rsid w:val="00346230"/>
    <w:rsid w:val="0034623E"/>
    <w:rsid w:val="003462B4"/>
    <w:rsid w:val="0034634B"/>
    <w:rsid w:val="00346372"/>
    <w:rsid w:val="00346572"/>
    <w:rsid w:val="00346614"/>
    <w:rsid w:val="0034691E"/>
    <w:rsid w:val="00346AAD"/>
    <w:rsid w:val="00346B38"/>
    <w:rsid w:val="00346C90"/>
    <w:rsid w:val="00346CF0"/>
    <w:rsid w:val="00347120"/>
    <w:rsid w:val="003471AA"/>
    <w:rsid w:val="00347282"/>
    <w:rsid w:val="003472FE"/>
    <w:rsid w:val="0034730B"/>
    <w:rsid w:val="00347310"/>
    <w:rsid w:val="0034734C"/>
    <w:rsid w:val="003473DA"/>
    <w:rsid w:val="003476BA"/>
    <w:rsid w:val="0034773B"/>
    <w:rsid w:val="0034785F"/>
    <w:rsid w:val="00347AF5"/>
    <w:rsid w:val="00347C28"/>
    <w:rsid w:val="00347CA1"/>
    <w:rsid w:val="00347F40"/>
    <w:rsid w:val="00347F69"/>
    <w:rsid w:val="0035014D"/>
    <w:rsid w:val="0035025F"/>
    <w:rsid w:val="00350294"/>
    <w:rsid w:val="0035031B"/>
    <w:rsid w:val="00350404"/>
    <w:rsid w:val="00350591"/>
    <w:rsid w:val="0035062C"/>
    <w:rsid w:val="0035066D"/>
    <w:rsid w:val="00350D0A"/>
    <w:rsid w:val="00350EE7"/>
    <w:rsid w:val="00350FC9"/>
    <w:rsid w:val="0035123E"/>
    <w:rsid w:val="00351694"/>
    <w:rsid w:val="0035169F"/>
    <w:rsid w:val="003516F1"/>
    <w:rsid w:val="00351839"/>
    <w:rsid w:val="00351BE9"/>
    <w:rsid w:val="00352227"/>
    <w:rsid w:val="0035223E"/>
    <w:rsid w:val="0035230C"/>
    <w:rsid w:val="00352445"/>
    <w:rsid w:val="003529B4"/>
    <w:rsid w:val="00352A1D"/>
    <w:rsid w:val="00352A21"/>
    <w:rsid w:val="00352B6D"/>
    <w:rsid w:val="00352CB0"/>
    <w:rsid w:val="00353251"/>
    <w:rsid w:val="0035330C"/>
    <w:rsid w:val="00353414"/>
    <w:rsid w:val="00353476"/>
    <w:rsid w:val="00353677"/>
    <w:rsid w:val="003537AA"/>
    <w:rsid w:val="00353CCF"/>
    <w:rsid w:val="00353F96"/>
    <w:rsid w:val="00353FD5"/>
    <w:rsid w:val="00353FDF"/>
    <w:rsid w:val="0035414D"/>
    <w:rsid w:val="00354460"/>
    <w:rsid w:val="00354527"/>
    <w:rsid w:val="0035497B"/>
    <w:rsid w:val="00354A0E"/>
    <w:rsid w:val="00354A93"/>
    <w:rsid w:val="00354E52"/>
    <w:rsid w:val="0035501D"/>
    <w:rsid w:val="00355349"/>
    <w:rsid w:val="00355391"/>
    <w:rsid w:val="003553D5"/>
    <w:rsid w:val="0035563B"/>
    <w:rsid w:val="00355677"/>
    <w:rsid w:val="003556A6"/>
    <w:rsid w:val="00355747"/>
    <w:rsid w:val="00355802"/>
    <w:rsid w:val="003558C0"/>
    <w:rsid w:val="003558DC"/>
    <w:rsid w:val="0035594C"/>
    <w:rsid w:val="00355968"/>
    <w:rsid w:val="00355ACA"/>
    <w:rsid w:val="00355B6B"/>
    <w:rsid w:val="00355CCB"/>
    <w:rsid w:val="00355E1D"/>
    <w:rsid w:val="00355EC3"/>
    <w:rsid w:val="00355F10"/>
    <w:rsid w:val="0035608D"/>
    <w:rsid w:val="003560D1"/>
    <w:rsid w:val="003561DD"/>
    <w:rsid w:val="0035620E"/>
    <w:rsid w:val="00356457"/>
    <w:rsid w:val="003564E5"/>
    <w:rsid w:val="00356622"/>
    <w:rsid w:val="003566C8"/>
    <w:rsid w:val="00356888"/>
    <w:rsid w:val="003568E6"/>
    <w:rsid w:val="0035690A"/>
    <w:rsid w:val="00356942"/>
    <w:rsid w:val="003569AD"/>
    <w:rsid w:val="003569DB"/>
    <w:rsid w:val="00356ACE"/>
    <w:rsid w:val="00356BE2"/>
    <w:rsid w:val="00356D56"/>
    <w:rsid w:val="00356F98"/>
    <w:rsid w:val="0035700F"/>
    <w:rsid w:val="00357079"/>
    <w:rsid w:val="003573A5"/>
    <w:rsid w:val="0035782A"/>
    <w:rsid w:val="003578EA"/>
    <w:rsid w:val="00357CD6"/>
    <w:rsid w:val="00357EEB"/>
    <w:rsid w:val="00357FEF"/>
    <w:rsid w:val="00360142"/>
    <w:rsid w:val="003601BE"/>
    <w:rsid w:val="003602F2"/>
    <w:rsid w:val="003606BF"/>
    <w:rsid w:val="0036079B"/>
    <w:rsid w:val="003607A8"/>
    <w:rsid w:val="003608FA"/>
    <w:rsid w:val="00360B75"/>
    <w:rsid w:val="00360CE4"/>
    <w:rsid w:val="00361297"/>
    <w:rsid w:val="003612D6"/>
    <w:rsid w:val="00361311"/>
    <w:rsid w:val="00361372"/>
    <w:rsid w:val="003614F8"/>
    <w:rsid w:val="00361502"/>
    <w:rsid w:val="003616A1"/>
    <w:rsid w:val="0036196B"/>
    <w:rsid w:val="00361995"/>
    <w:rsid w:val="00361A2C"/>
    <w:rsid w:val="00362095"/>
    <w:rsid w:val="00362133"/>
    <w:rsid w:val="003622BA"/>
    <w:rsid w:val="003623C0"/>
    <w:rsid w:val="0036245A"/>
    <w:rsid w:val="003624E7"/>
    <w:rsid w:val="003625BB"/>
    <w:rsid w:val="003626CF"/>
    <w:rsid w:val="00362874"/>
    <w:rsid w:val="00362CD0"/>
    <w:rsid w:val="00362D1F"/>
    <w:rsid w:val="00362D30"/>
    <w:rsid w:val="00362D84"/>
    <w:rsid w:val="00363098"/>
    <w:rsid w:val="003630E8"/>
    <w:rsid w:val="003631C8"/>
    <w:rsid w:val="003631DA"/>
    <w:rsid w:val="00363250"/>
    <w:rsid w:val="00363344"/>
    <w:rsid w:val="003633CB"/>
    <w:rsid w:val="0036355B"/>
    <w:rsid w:val="003636DB"/>
    <w:rsid w:val="00363867"/>
    <w:rsid w:val="003639EB"/>
    <w:rsid w:val="00363AF3"/>
    <w:rsid w:val="00363B00"/>
    <w:rsid w:val="00363CA1"/>
    <w:rsid w:val="00363CE8"/>
    <w:rsid w:val="00363E96"/>
    <w:rsid w:val="0036403E"/>
    <w:rsid w:val="003643B2"/>
    <w:rsid w:val="00364433"/>
    <w:rsid w:val="00364440"/>
    <w:rsid w:val="003644C4"/>
    <w:rsid w:val="00364629"/>
    <w:rsid w:val="00364658"/>
    <w:rsid w:val="003647DA"/>
    <w:rsid w:val="003647EE"/>
    <w:rsid w:val="0036487F"/>
    <w:rsid w:val="003648C2"/>
    <w:rsid w:val="003648D7"/>
    <w:rsid w:val="00364954"/>
    <w:rsid w:val="00364A77"/>
    <w:rsid w:val="00364B2A"/>
    <w:rsid w:val="00364B91"/>
    <w:rsid w:val="00365008"/>
    <w:rsid w:val="00365150"/>
    <w:rsid w:val="003652D2"/>
    <w:rsid w:val="0036540A"/>
    <w:rsid w:val="00365486"/>
    <w:rsid w:val="003655E5"/>
    <w:rsid w:val="0036561D"/>
    <w:rsid w:val="00365704"/>
    <w:rsid w:val="0036574E"/>
    <w:rsid w:val="00365952"/>
    <w:rsid w:val="00365AD4"/>
    <w:rsid w:val="00365E51"/>
    <w:rsid w:val="00365FE0"/>
    <w:rsid w:val="0036604D"/>
    <w:rsid w:val="0036607C"/>
    <w:rsid w:val="00366140"/>
    <w:rsid w:val="0036617C"/>
    <w:rsid w:val="003661BC"/>
    <w:rsid w:val="00366526"/>
    <w:rsid w:val="00366874"/>
    <w:rsid w:val="00366B67"/>
    <w:rsid w:val="00366FA7"/>
    <w:rsid w:val="00367052"/>
    <w:rsid w:val="003672CF"/>
    <w:rsid w:val="003674F0"/>
    <w:rsid w:val="003674FD"/>
    <w:rsid w:val="0036750A"/>
    <w:rsid w:val="0036764F"/>
    <w:rsid w:val="00367798"/>
    <w:rsid w:val="0036784B"/>
    <w:rsid w:val="00367ABC"/>
    <w:rsid w:val="00367B7C"/>
    <w:rsid w:val="00367C9D"/>
    <w:rsid w:val="00367E04"/>
    <w:rsid w:val="003701A4"/>
    <w:rsid w:val="003703F8"/>
    <w:rsid w:val="0037040A"/>
    <w:rsid w:val="003704EB"/>
    <w:rsid w:val="0037058F"/>
    <w:rsid w:val="0037089C"/>
    <w:rsid w:val="00370AFC"/>
    <w:rsid w:val="00370BD0"/>
    <w:rsid w:val="00370D2E"/>
    <w:rsid w:val="00370F82"/>
    <w:rsid w:val="003710F7"/>
    <w:rsid w:val="00371150"/>
    <w:rsid w:val="0037117B"/>
    <w:rsid w:val="003711FB"/>
    <w:rsid w:val="00371301"/>
    <w:rsid w:val="0037155E"/>
    <w:rsid w:val="00371A7B"/>
    <w:rsid w:val="00371D13"/>
    <w:rsid w:val="00371D6B"/>
    <w:rsid w:val="00371DE8"/>
    <w:rsid w:val="00371E85"/>
    <w:rsid w:val="003721C4"/>
    <w:rsid w:val="003723CD"/>
    <w:rsid w:val="0037257C"/>
    <w:rsid w:val="0037272E"/>
    <w:rsid w:val="00372B1F"/>
    <w:rsid w:val="00372B31"/>
    <w:rsid w:val="00372B6C"/>
    <w:rsid w:val="00372B74"/>
    <w:rsid w:val="00372B82"/>
    <w:rsid w:val="00372C1A"/>
    <w:rsid w:val="00372D6A"/>
    <w:rsid w:val="00372FB2"/>
    <w:rsid w:val="00372FEA"/>
    <w:rsid w:val="0037301F"/>
    <w:rsid w:val="003733ED"/>
    <w:rsid w:val="00373616"/>
    <w:rsid w:val="00373847"/>
    <w:rsid w:val="00373863"/>
    <w:rsid w:val="003738D9"/>
    <w:rsid w:val="00373A64"/>
    <w:rsid w:val="00373C28"/>
    <w:rsid w:val="00373FD2"/>
    <w:rsid w:val="003744E8"/>
    <w:rsid w:val="0037453A"/>
    <w:rsid w:val="00374567"/>
    <w:rsid w:val="003745A8"/>
    <w:rsid w:val="003747A6"/>
    <w:rsid w:val="00374800"/>
    <w:rsid w:val="00374970"/>
    <w:rsid w:val="00374B88"/>
    <w:rsid w:val="00374B96"/>
    <w:rsid w:val="00374C0E"/>
    <w:rsid w:val="00374C34"/>
    <w:rsid w:val="00374CA1"/>
    <w:rsid w:val="00374CCC"/>
    <w:rsid w:val="00374CEB"/>
    <w:rsid w:val="00374D36"/>
    <w:rsid w:val="00374FBA"/>
    <w:rsid w:val="0037505D"/>
    <w:rsid w:val="003751BD"/>
    <w:rsid w:val="00375449"/>
    <w:rsid w:val="00375814"/>
    <w:rsid w:val="00375955"/>
    <w:rsid w:val="00375999"/>
    <w:rsid w:val="003759AF"/>
    <w:rsid w:val="00375AE2"/>
    <w:rsid w:val="00375D85"/>
    <w:rsid w:val="00375F68"/>
    <w:rsid w:val="00375FDA"/>
    <w:rsid w:val="003763BD"/>
    <w:rsid w:val="00376572"/>
    <w:rsid w:val="00376609"/>
    <w:rsid w:val="0037678A"/>
    <w:rsid w:val="0037682C"/>
    <w:rsid w:val="00376CF0"/>
    <w:rsid w:val="00376D1F"/>
    <w:rsid w:val="00376D64"/>
    <w:rsid w:val="00376F14"/>
    <w:rsid w:val="00376F25"/>
    <w:rsid w:val="00377141"/>
    <w:rsid w:val="00377286"/>
    <w:rsid w:val="00377311"/>
    <w:rsid w:val="00377321"/>
    <w:rsid w:val="0037743C"/>
    <w:rsid w:val="003777D9"/>
    <w:rsid w:val="00377AB8"/>
    <w:rsid w:val="00377AFB"/>
    <w:rsid w:val="00377BB0"/>
    <w:rsid w:val="00377C51"/>
    <w:rsid w:val="00377E65"/>
    <w:rsid w:val="00377E88"/>
    <w:rsid w:val="00377E98"/>
    <w:rsid w:val="00380148"/>
    <w:rsid w:val="003801C1"/>
    <w:rsid w:val="003801DE"/>
    <w:rsid w:val="00380309"/>
    <w:rsid w:val="0038047E"/>
    <w:rsid w:val="0038059A"/>
    <w:rsid w:val="0038067C"/>
    <w:rsid w:val="00380767"/>
    <w:rsid w:val="00380A19"/>
    <w:rsid w:val="00380A71"/>
    <w:rsid w:val="00380AB9"/>
    <w:rsid w:val="00380AFF"/>
    <w:rsid w:val="00380D8B"/>
    <w:rsid w:val="00380DB3"/>
    <w:rsid w:val="00380E0E"/>
    <w:rsid w:val="00380E34"/>
    <w:rsid w:val="00380E73"/>
    <w:rsid w:val="00380E83"/>
    <w:rsid w:val="00380F9B"/>
    <w:rsid w:val="0038133E"/>
    <w:rsid w:val="003813B5"/>
    <w:rsid w:val="003814CE"/>
    <w:rsid w:val="00381693"/>
    <w:rsid w:val="003816B7"/>
    <w:rsid w:val="0038170A"/>
    <w:rsid w:val="0038195F"/>
    <w:rsid w:val="00381A88"/>
    <w:rsid w:val="00381B2A"/>
    <w:rsid w:val="00381C51"/>
    <w:rsid w:val="00381C79"/>
    <w:rsid w:val="00381CDB"/>
    <w:rsid w:val="00381CEA"/>
    <w:rsid w:val="00381D9B"/>
    <w:rsid w:val="00381EE0"/>
    <w:rsid w:val="003822CB"/>
    <w:rsid w:val="003824B9"/>
    <w:rsid w:val="00382652"/>
    <w:rsid w:val="00382853"/>
    <w:rsid w:val="00382A60"/>
    <w:rsid w:val="00382AB5"/>
    <w:rsid w:val="00382C01"/>
    <w:rsid w:val="00382C07"/>
    <w:rsid w:val="00382C83"/>
    <w:rsid w:val="00382D35"/>
    <w:rsid w:val="00382F71"/>
    <w:rsid w:val="00382FD3"/>
    <w:rsid w:val="00382FFB"/>
    <w:rsid w:val="00383070"/>
    <w:rsid w:val="00383233"/>
    <w:rsid w:val="0038346F"/>
    <w:rsid w:val="003835EC"/>
    <w:rsid w:val="00383750"/>
    <w:rsid w:val="0038376F"/>
    <w:rsid w:val="00383783"/>
    <w:rsid w:val="003837E6"/>
    <w:rsid w:val="003838C1"/>
    <w:rsid w:val="00383A32"/>
    <w:rsid w:val="00383A89"/>
    <w:rsid w:val="00383B35"/>
    <w:rsid w:val="00383BDE"/>
    <w:rsid w:val="00383C5C"/>
    <w:rsid w:val="00383E06"/>
    <w:rsid w:val="00384251"/>
    <w:rsid w:val="00384269"/>
    <w:rsid w:val="00384347"/>
    <w:rsid w:val="00384511"/>
    <w:rsid w:val="003846AA"/>
    <w:rsid w:val="003846E7"/>
    <w:rsid w:val="00384704"/>
    <w:rsid w:val="00384B5D"/>
    <w:rsid w:val="00384CF6"/>
    <w:rsid w:val="00384D04"/>
    <w:rsid w:val="00384D20"/>
    <w:rsid w:val="00384D5F"/>
    <w:rsid w:val="00384E2C"/>
    <w:rsid w:val="00384FF7"/>
    <w:rsid w:val="0038516A"/>
    <w:rsid w:val="003851EB"/>
    <w:rsid w:val="00385561"/>
    <w:rsid w:val="00385907"/>
    <w:rsid w:val="00385A29"/>
    <w:rsid w:val="00385A58"/>
    <w:rsid w:val="00385B5F"/>
    <w:rsid w:val="00385B6B"/>
    <w:rsid w:val="00385B91"/>
    <w:rsid w:val="00385F0D"/>
    <w:rsid w:val="003862D2"/>
    <w:rsid w:val="00386425"/>
    <w:rsid w:val="00386450"/>
    <w:rsid w:val="003865A0"/>
    <w:rsid w:val="0038695F"/>
    <w:rsid w:val="00386D3E"/>
    <w:rsid w:val="00386ECE"/>
    <w:rsid w:val="003870EF"/>
    <w:rsid w:val="00387471"/>
    <w:rsid w:val="003875A7"/>
    <w:rsid w:val="00387764"/>
    <w:rsid w:val="003877AB"/>
    <w:rsid w:val="003877EA"/>
    <w:rsid w:val="00387A5A"/>
    <w:rsid w:val="00387A7A"/>
    <w:rsid w:val="00387BBA"/>
    <w:rsid w:val="00387CCE"/>
    <w:rsid w:val="00387DCC"/>
    <w:rsid w:val="00387EE4"/>
    <w:rsid w:val="00390106"/>
    <w:rsid w:val="00390266"/>
    <w:rsid w:val="0039076A"/>
    <w:rsid w:val="00390A0B"/>
    <w:rsid w:val="00390AC8"/>
    <w:rsid w:val="00390C7D"/>
    <w:rsid w:val="00390D1E"/>
    <w:rsid w:val="00390F71"/>
    <w:rsid w:val="00391176"/>
    <w:rsid w:val="00391353"/>
    <w:rsid w:val="003915C4"/>
    <w:rsid w:val="00391730"/>
    <w:rsid w:val="00391733"/>
    <w:rsid w:val="003917CF"/>
    <w:rsid w:val="00391824"/>
    <w:rsid w:val="00391978"/>
    <w:rsid w:val="00391B24"/>
    <w:rsid w:val="00391F6B"/>
    <w:rsid w:val="003921B5"/>
    <w:rsid w:val="0039224F"/>
    <w:rsid w:val="0039236F"/>
    <w:rsid w:val="003924C0"/>
    <w:rsid w:val="003924EE"/>
    <w:rsid w:val="00392742"/>
    <w:rsid w:val="00392C69"/>
    <w:rsid w:val="00392D0C"/>
    <w:rsid w:val="00392E81"/>
    <w:rsid w:val="00392F8F"/>
    <w:rsid w:val="00392FA6"/>
    <w:rsid w:val="003932D1"/>
    <w:rsid w:val="00393474"/>
    <w:rsid w:val="003935D5"/>
    <w:rsid w:val="003936BF"/>
    <w:rsid w:val="003936D2"/>
    <w:rsid w:val="00393759"/>
    <w:rsid w:val="00393934"/>
    <w:rsid w:val="003939DE"/>
    <w:rsid w:val="00393A13"/>
    <w:rsid w:val="00393A2A"/>
    <w:rsid w:val="00393B9D"/>
    <w:rsid w:val="00393BA3"/>
    <w:rsid w:val="00393C1E"/>
    <w:rsid w:val="00393C41"/>
    <w:rsid w:val="00393C7F"/>
    <w:rsid w:val="00393C90"/>
    <w:rsid w:val="00393CDB"/>
    <w:rsid w:val="00393D73"/>
    <w:rsid w:val="00393DE1"/>
    <w:rsid w:val="00393DE7"/>
    <w:rsid w:val="00393F6E"/>
    <w:rsid w:val="003940FA"/>
    <w:rsid w:val="0039437E"/>
    <w:rsid w:val="003943D9"/>
    <w:rsid w:val="00394A1D"/>
    <w:rsid w:val="00394B3A"/>
    <w:rsid w:val="00394BD9"/>
    <w:rsid w:val="00394CB5"/>
    <w:rsid w:val="00394DD4"/>
    <w:rsid w:val="00394F9E"/>
    <w:rsid w:val="00394FCC"/>
    <w:rsid w:val="0039512F"/>
    <w:rsid w:val="0039514C"/>
    <w:rsid w:val="003952D8"/>
    <w:rsid w:val="00395452"/>
    <w:rsid w:val="0039547D"/>
    <w:rsid w:val="0039559D"/>
    <w:rsid w:val="0039573A"/>
    <w:rsid w:val="0039575D"/>
    <w:rsid w:val="00395A67"/>
    <w:rsid w:val="00395B1E"/>
    <w:rsid w:val="00395B52"/>
    <w:rsid w:val="00395BB5"/>
    <w:rsid w:val="00395BD6"/>
    <w:rsid w:val="00395E04"/>
    <w:rsid w:val="00395F39"/>
    <w:rsid w:val="003960F9"/>
    <w:rsid w:val="00396376"/>
    <w:rsid w:val="00396624"/>
    <w:rsid w:val="0039663F"/>
    <w:rsid w:val="0039669A"/>
    <w:rsid w:val="00396892"/>
    <w:rsid w:val="003969CF"/>
    <w:rsid w:val="003969F5"/>
    <w:rsid w:val="00396BB1"/>
    <w:rsid w:val="00396C92"/>
    <w:rsid w:val="00396D80"/>
    <w:rsid w:val="00396D8D"/>
    <w:rsid w:val="00396F8E"/>
    <w:rsid w:val="00396FF4"/>
    <w:rsid w:val="0039726C"/>
    <w:rsid w:val="00397771"/>
    <w:rsid w:val="003978A7"/>
    <w:rsid w:val="00397B1D"/>
    <w:rsid w:val="00397B3A"/>
    <w:rsid w:val="00397B97"/>
    <w:rsid w:val="00397C80"/>
    <w:rsid w:val="00397CDE"/>
    <w:rsid w:val="00397D6D"/>
    <w:rsid w:val="003A00EE"/>
    <w:rsid w:val="003A0128"/>
    <w:rsid w:val="003A038A"/>
    <w:rsid w:val="003A051D"/>
    <w:rsid w:val="003A0568"/>
    <w:rsid w:val="003A0868"/>
    <w:rsid w:val="003A0AAF"/>
    <w:rsid w:val="003A0B00"/>
    <w:rsid w:val="003A0C1E"/>
    <w:rsid w:val="003A0DAC"/>
    <w:rsid w:val="003A0E17"/>
    <w:rsid w:val="003A0E45"/>
    <w:rsid w:val="003A0E8D"/>
    <w:rsid w:val="003A1008"/>
    <w:rsid w:val="003A10A0"/>
    <w:rsid w:val="003A111E"/>
    <w:rsid w:val="003A143B"/>
    <w:rsid w:val="003A1497"/>
    <w:rsid w:val="003A1507"/>
    <w:rsid w:val="003A15FD"/>
    <w:rsid w:val="003A1888"/>
    <w:rsid w:val="003A1967"/>
    <w:rsid w:val="003A1A37"/>
    <w:rsid w:val="003A1A76"/>
    <w:rsid w:val="003A1A8A"/>
    <w:rsid w:val="003A1AD2"/>
    <w:rsid w:val="003A1B86"/>
    <w:rsid w:val="003A1BB6"/>
    <w:rsid w:val="003A1D7C"/>
    <w:rsid w:val="003A1EAB"/>
    <w:rsid w:val="003A21D2"/>
    <w:rsid w:val="003A21D5"/>
    <w:rsid w:val="003A2287"/>
    <w:rsid w:val="003A2336"/>
    <w:rsid w:val="003A23C5"/>
    <w:rsid w:val="003A2451"/>
    <w:rsid w:val="003A24A2"/>
    <w:rsid w:val="003A2527"/>
    <w:rsid w:val="003A2530"/>
    <w:rsid w:val="003A2586"/>
    <w:rsid w:val="003A2646"/>
    <w:rsid w:val="003A26EB"/>
    <w:rsid w:val="003A284D"/>
    <w:rsid w:val="003A2E7A"/>
    <w:rsid w:val="003A30AD"/>
    <w:rsid w:val="003A324C"/>
    <w:rsid w:val="003A338D"/>
    <w:rsid w:val="003A344C"/>
    <w:rsid w:val="003A358C"/>
    <w:rsid w:val="003A35FF"/>
    <w:rsid w:val="003A365A"/>
    <w:rsid w:val="003A3743"/>
    <w:rsid w:val="003A3863"/>
    <w:rsid w:val="003A38CF"/>
    <w:rsid w:val="003A3B11"/>
    <w:rsid w:val="003A3B54"/>
    <w:rsid w:val="003A3C4B"/>
    <w:rsid w:val="003A3D25"/>
    <w:rsid w:val="003A4003"/>
    <w:rsid w:val="003A4222"/>
    <w:rsid w:val="003A4373"/>
    <w:rsid w:val="003A466D"/>
    <w:rsid w:val="003A48B6"/>
    <w:rsid w:val="003A48C9"/>
    <w:rsid w:val="003A48E6"/>
    <w:rsid w:val="003A4970"/>
    <w:rsid w:val="003A4980"/>
    <w:rsid w:val="003A4AAE"/>
    <w:rsid w:val="003A4BD3"/>
    <w:rsid w:val="003A4BE4"/>
    <w:rsid w:val="003A4C99"/>
    <w:rsid w:val="003A4C9A"/>
    <w:rsid w:val="003A4DB7"/>
    <w:rsid w:val="003A4E34"/>
    <w:rsid w:val="003A4E3B"/>
    <w:rsid w:val="003A516C"/>
    <w:rsid w:val="003A517E"/>
    <w:rsid w:val="003A520A"/>
    <w:rsid w:val="003A5256"/>
    <w:rsid w:val="003A5423"/>
    <w:rsid w:val="003A565F"/>
    <w:rsid w:val="003A570F"/>
    <w:rsid w:val="003A574E"/>
    <w:rsid w:val="003A5A26"/>
    <w:rsid w:val="003A5A6F"/>
    <w:rsid w:val="003A5B5C"/>
    <w:rsid w:val="003A5D1F"/>
    <w:rsid w:val="003A5D6D"/>
    <w:rsid w:val="003A5D91"/>
    <w:rsid w:val="003A5DCB"/>
    <w:rsid w:val="003A5EE0"/>
    <w:rsid w:val="003A5F0D"/>
    <w:rsid w:val="003A5F11"/>
    <w:rsid w:val="003A618B"/>
    <w:rsid w:val="003A6398"/>
    <w:rsid w:val="003A65CD"/>
    <w:rsid w:val="003A663D"/>
    <w:rsid w:val="003A6931"/>
    <w:rsid w:val="003A6A02"/>
    <w:rsid w:val="003A6A04"/>
    <w:rsid w:val="003A6A0A"/>
    <w:rsid w:val="003A6BD9"/>
    <w:rsid w:val="003A6D1E"/>
    <w:rsid w:val="003A6DB8"/>
    <w:rsid w:val="003A6F62"/>
    <w:rsid w:val="003A7163"/>
    <w:rsid w:val="003A71A4"/>
    <w:rsid w:val="003A724F"/>
    <w:rsid w:val="003A73AD"/>
    <w:rsid w:val="003A73C5"/>
    <w:rsid w:val="003A742D"/>
    <w:rsid w:val="003A77FA"/>
    <w:rsid w:val="003A78A3"/>
    <w:rsid w:val="003A7936"/>
    <w:rsid w:val="003A79B9"/>
    <w:rsid w:val="003A7B27"/>
    <w:rsid w:val="003A7BFF"/>
    <w:rsid w:val="003A7D6D"/>
    <w:rsid w:val="003A7E87"/>
    <w:rsid w:val="003B0292"/>
    <w:rsid w:val="003B02C5"/>
    <w:rsid w:val="003B0328"/>
    <w:rsid w:val="003B0352"/>
    <w:rsid w:val="003B086E"/>
    <w:rsid w:val="003B08D5"/>
    <w:rsid w:val="003B0919"/>
    <w:rsid w:val="003B0B34"/>
    <w:rsid w:val="003B0C6E"/>
    <w:rsid w:val="003B0CE0"/>
    <w:rsid w:val="003B0CF3"/>
    <w:rsid w:val="003B0D68"/>
    <w:rsid w:val="003B0E2A"/>
    <w:rsid w:val="003B0F36"/>
    <w:rsid w:val="003B104C"/>
    <w:rsid w:val="003B11B4"/>
    <w:rsid w:val="003B1283"/>
    <w:rsid w:val="003B12CD"/>
    <w:rsid w:val="003B16E7"/>
    <w:rsid w:val="003B1830"/>
    <w:rsid w:val="003B186D"/>
    <w:rsid w:val="003B187F"/>
    <w:rsid w:val="003B1A50"/>
    <w:rsid w:val="003B1A7F"/>
    <w:rsid w:val="003B1BD0"/>
    <w:rsid w:val="003B1C19"/>
    <w:rsid w:val="003B1CE0"/>
    <w:rsid w:val="003B1F76"/>
    <w:rsid w:val="003B2082"/>
    <w:rsid w:val="003B20B3"/>
    <w:rsid w:val="003B2127"/>
    <w:rsid w:val="003B230E"/>
    <w:rsid w:val="003B248B"/>
    <w:rsid w:val="003B2667"/>
    <w:rsid w:val="003B2732"/>
    <w:rsid w:val="003B274A"/>
    <w:rsid w:val="003B2793"/>
    <w:rsid w:val="003B285B"/>
    <w:rsid w:val="003B28F2"/>
    <w:rsid w:val="003B2A00"/>
    <w:rsid w:val="003B2AD1"/>
    <w:rsid w:val="003B2AE8"/>
    <w:rsid w:val="003B2B62"/>
    <w:rsid w:val="003B2D78"/>
    <w:rsid w:val="003B2DF1"/>
    <w:rsid w:val="003B2E64"/>
    <w:rsid w:val="003B2EEC"/>
    <w:rsid w:val="003B311C"/>
    <w:rsid w:val="003B32BE"/>
    <w:rsid w:val="003B3348"/>
    <w:rsid w:val="003B336D"/>
    <w:rsid w:val="003B3378"/>
    <w:rsid w:val="003B3580"/>
    <w:rsid w:val="003B3611"/>
    <w:rsid w:val="003B36C6"/>
    <w:rsid w:val="003B37D4"/>
    <w:rsid w:val="003B38EC"/>
    <w:rsid w:val="003B3937"/>
    <w:rsid w:val="003B3991"/>
    <w:rsid w:val="003B39D4"/>
    <w:rsid w:val="003B3C04"/>
    <w:rsid w:val="003B3C56"/>
    <w:rsid w:val="003B3DA4"/>
    <w:rsid w:val="003B3DBC"/>
    <w:rsid w:val="003B3EA0"/>
    <w:rsid w:val="003B3EF5"/>
    <w:rsid w:val="003B3FF4"/>
    <w:rsid w:val="003B401A"/>
    <w:rsid w:val="003B4287"/>
    <w:rsid w:val="003B42BD"/>
    <w:rsid w:val="003B42E9"/>
    <w:rsid w:val="003B437E"/>
    <w:rsid w:val="003B4748"/>
    <w:rsid w:val="003B48F3"/>
    <w:rsid w:val="003B49F4"/>
    <w:rsid w:val="003B4C34"/>
    <w:rsid w:val="003B4C73"/>
    <w:rsid w:val="003B4FE6"/>
    <w:rsid w:val="003B527F"/>
    <w:rsid w:val="003B5432"/>
    <w:rsid w:val="003B5590"/>
    <w:rsid w:val="003B5710"/>
    <w:rsid w:val="003B57AD"/>
    <w:rsid w:val="003B5833"/>
    <w:rsid w:val="003B58C2"/>
    <w:rsid w:val="003B59A8"/>
    <w:rsid w:val="003B5AAD"/>
    <w:rsid w:val="003B5D5F"/>
    <w:rsid w:val="003B5E61"/>
    <w:rsid w:val="003B5E93"/>
    <w:rsid w:val="003B60D7"/>
    <w:rsid w:val="003B61AF"/>
    <w:rsid w:val="003B61B0"/>
    <w:rsid w:val="003B6220"/>
    <w:rsid w:val="003B62B9"/>
    <w:rsid w:val="003B6367"/>
    <w:rsid w:val="003B63E0"/>
    <w:rsid w:val="003B6409"/>
    <w:rsid w:val="003B648C"/>
    <w:rsid w:val="003B6568"/>
    <w:rsid w:val="003B6804"/>
    <w:rsid w:val="003B6A6B"/>
    <w:rsid w:val="003B6B5C"/>
    <w:rsid w:val="003B6C9A"/>
    <w:rsid w:val="003B6E5C"/>
    <w:rsid w:val="003B6FA6"/>
    <w:rsid w:val="003B70B9"/>
    <w:rsid w:val="003B70F0"/>
    <w:rsid w:val="003B73D8"/>
    <w:rsid w:val="003B7438"/>
    <w:rsid w:val="003B7536"/>
    <w:rsid w:val="003B761B"/>
    <w:rsid w:val="003B7851"/>
    <w:rsid w:val="003B78C3"/>
    <w:rsid w:val="003B7BEF"/>
    <w:rsid w:val="003B7BF1"/>
    <w:rsid w:val="003B7C97"/>
    <w:rsid w:val="003B7DA8"/>
    <w:rsid w:val="003C0026"/>
    <w:rsid w:val="003C0147"/>
    <w:rsid w:val="003C021E"/>
    <w:rsid w:val="003C0225"/>
    <w:rsid w:val="003C050D"/>
    <w:rsid w:val="003C051D"/>
    <w:rsid w:val="003C0587"/>
    <w:rsid w:val="003C0592"/>
    <w:rsid w:val="003C06AC"/>
    <w:rsid w:val="003C0C4D"/>
    <w:rsid w:val="003C0E66"/>
    <w:rsid w:val="003C10FE"/>
    <w:rsid w:val="003C121E"/>
    <w:rsid w:val="003C197A"/>
    <w:rsid w:val="003C1A77"/>
    <w:rsid w:val="003C1B9F"/>
    <w:rsid w:val="003C1CA0"/>
    <w:rsid w:val="003C1D25"/>
    <w:rsid w:val="003C1D2C"/>
    <w:rsid w:val="003C1E7C"/>
    <w:rsid w:val="003C1E8F"/>
    <w:rsid w:val="003C1EFE"/>
    <w:rsid w:val="003C2035"/>
    <w:rsid w:val="003C24C8"/>
    <w:rsid w:val="003C2689"/>
    <w:rsid w:val="003C2734"/>
    <w:rsid w:val="003C282E"/>
    <w:rsid w:val="003C28C0"/>
    <w:rsid w:val="003C2988"/>
    <w:rsid w:val="003C29F8"/>
    <w:rsid w:val="003C2A6E"/>
    <w:rsid w:val="003C2C0D"/>
    <w:rsid w:val="003C2C62"/>
    <w:rsid w:val="003C2C6B"/>
    <w:rsid w:val="003C31B2"/>
    <w:rsid w:val="003C327F"/>
    <w:rsid w:val="003C3474"/>
    <w:rsid w:val="003C3865"/>
    <w:rsid w:val="003C38EB"/>
    <w:rsid w:val="003C3CAF"/>
    <w:rsid w:val="003C3D7F"/>
    <w:rsid w:val="003C3F8F"/>
    <w:rsid w:val="003C4083"/>
    <w:rsid w:val="003C40DD"/>
    <w:rsid w:val="003C4172"/>
    <w:rsid w:val="003C4286"/>
    <w:rsid w:val="003C42A6"/>
    <w:rsid w:val="003C42F9"/>
    <w:rsid w:val="003C444D"/>
    <w:rsid w:val="003C45D1"/>
    <w:rsid w:val="003C47CE"/>
    <w:rsid w:val="003C480B"/>
    <w:rsid w:val="003C4940"/>
    <w:rsid w:val="003C4A4E"/>
    <w:rsid w:val="003C4A86"/>
    <w:rsid w:val="003C4D4B"/>
    <w:rsid w:val="003C4FF4"/>
    <w:rsid w:val="003C513F"/>
    <w:rsid w:val="003C5213"/>
    <w:rsid w:val="003C5260"/>
    <w:rsid w:val="003C5606"/>
    <w:rsid w:val="003C5614"/>
    <w:rsid w:val="003C5867"/>
    <w:rsid w:val="003C5939"/>
    <w:rsid w:val="003C5AAF"/>
    <w:rsid w:val="003C5BDA"/>
    <w:rsid w:val="003C5C2A"/>
    <w:rsid w:val="003C5C8A"/>
    <w:rsid w:val="003C6086"/>
    <w:rsid w:val="003C6177"/>
    <w:rsid w:val="003C61E2"/>
    <w:rsid w:val="003C6220"/>
    <w:rsid w:val="003C629C"/>
    <w:rsid w:val="003C64CA"/>
    <w:rsid w:val="003C6556"/>
    <w:rsid w:val="003C6586"/>
    <w:rsid w:val="003C658F"/>
    <w:rsid w:val="003C6646"/>
    <w:rsid w:val="003C6C5B"/>
    <w:rsid w:val="003C72F8"/>
    <w:rsid w:val="003C748B"/>
    <w:rsid w:val="003C776D"/>
    <w:rsid w:val="003C79A6"/>
    <w:rsid w:val="003C7AAC"/>
    <w:rsid w:val="003C7CAF"/>
    <w:rsid w:val="003C7EDF"/>
    <w:rsid w:val="003C7F0F"/>
    <w:rsid w:val="003C7F90"/>
    <w:rsid w:val="003D007A"/>
    <w:rsid w:val="003D0085"/>
    <w:rsid w:val="003D0112"/>
    <w:rsid w:val="003D01B9"/>
    <w:rsid w:val="003D01F3"/>
    <w:rsid w:val="003D0205"/>
    <w:rsid w:val="003D0276"/>
    <w:rsid w:val="003D0362"/>
    <w:rsid w:val="003D06C0"/>
    <w:rsid w:val="003D06D3"/>
    <w:rsid w:val="003D0730"/>
    <w:rsid w:val="003D073F"/>
    <w:rsid w:val="003D0A99"/>
    <w:rsid w:val="003D0ABA"/>
    <w:rsid w:val="003D0D3E"/>
    <w:rsid w:val="003D0D82"/>
    <w:rsid w:val="003D1036"/>
    <w:rsid w:val="003D1062"/>
    <w:rsid w:val="003D1207"/>
    <w:rsid w:val="003D1210"/>
    <w:rsid w:val="003D1349"/>
    <w:rsid w:val="003D13A6"/>
    <w:rsid w:val="003D15AA"/>
    <w:rsid w:val="003D15DB"/>
    <w:rsid w:val="003D172C"/>
    <w:rsid w:val="003D1D33"/>
    <w:rsid w:val="003D1E08"/>
    <w:rsid w:val="003D1E43"/>
    <w:rsid w:val="003D1F17"/>
    <w:rsid w:val="003D1FDB"/>
    <w:rsid w:val="003D1FE4"/>
    <w:rsid w:val="003D22C3"/>
    <w:rsid w:val="003D2467"/>
    <w:rsid w:val="003D26BA"/>
    <w:rsid w:val="003D26FE"/>
    <w:rsid w:val="003D27B1"/>
    <w:rsid w:val="003D296D"/>
    <w:rsid w:val="003D2988"/>
    <w:rsid w:val="003D29B0"/>
    <w:rsid w:val="003D2B3B"/>
    <w:rsid w:val="003D2C26"/>
    <w:rsid w:val="003D2E66"/>
    <w:rsid w:val="003D2ECF"/>
    <w:rsid w:val="003D2F61"/>
    <w:rsid w:val="003D30CD"/>
    <w:rsid w:val="003D30DF"/>
    <w:rsid w:val="003D31A8"/>
    <w:rsid w:val="003D31CF"/>
    <w:rsid w:val="003D3279"/>
    <w:rsid w:val="003D3299"/>
    <w:rsid w:val="003D33B7"/>
    <w:rsid w:val="003D35D0"/>
    <w:rsid w:val="003D37E1"/>
    <w:rsid w:val="003D37E2"/>
    <w:rsid w:val="003D3832"/>
    <w:rsid w:val="003D3867"/>
    <w:rsid w:val="003D3E33"/>
    <w:rsid w:val="003D40D2"/>
    <w:rsid w:val="003D4189"/>
    <w:rsid w:val="003D424A"/>
    <w:rsid w:val="003D447E"/>
    <w:rsid w:val="003D4596"/>
    <w:rsid w:val="003D45CA"/>
    <w:rsid w:val="003D47DA"/>
    <w:rsid w:val="003D47E5"/>
    <w:rsid w:val="003D48EA"/>
    <w:rsid w:val="003D4DB7"/>
    <w:rsid w:val="003D4E4F"/>
    <w:rsid w:val="003D5000"/>
    <w:rsid w:val="003D51CF"/>
    <w:rsid w:val="003D5392"/>
    <w:rsid w:val="003D5428"/>
    <w:rsid w:val="003D5520"/>
    <w:rsid w:val="003D553B"/>
    <w:rsid w:val="003D5662"/>
    <w:rsid w:val="003D5867"/>
    <w:rsid w:val="003D5A19"/>
    <w:rsid w:val="003D5DFA"/>
    <w:rsid w:val="003D5DFF"/>
    <w:rsid w:val="003D5E55"/>
    <w:rsid w:val="003D5EAC"/>
    <w:rsid w:val="003D602D"/>
    <w:rsid w:val="003D607E"/>
    <w:rsid w:val="003D6311"/>
    <w:rsid w:val="003D65B6"/>
    <w:rsid w:val="003D66AA"/>
    <w:rsid w:val="003D66C0"/>
    <w:rsid w:val="003D67B8"/>
    <w:rsid w:val="003D6A3F"/>
    <w:rsid w:val="003D6E71"/>
    <w:rsid w:val="003D7141"/>
    <w:rsid w:val="003D727A"/>
    <w:rsid w:val="003D7336"/>
    <w:rsid w:val="003D7523"/>
    <w:rsid w:val="003D755E"/>
    <w:rsid w:val="003D76A3"/>
    <w:rsid w:val="003D77FA"/>
    <w:rsid w:val="003D793E"/>
    <w:rsid w:val="003D7CD6"/>
    <w:rsid w:val="003D7E37"/>
    <w:rsid w:val="003D7E5F"/>
    <w:rsid w:val="003D7EF6"/>
    <w:rsid w:val="003D7FB8"/>
    <w:rsid w:val="003E0301"/>
    <w:rsid w:val="003E0594"/>
    <w:rsid w:val="003E0658"/>
    <w:rsid w:val="003E066F"/>
    <w:rsid w:val="003E07D5"/>
    <w:rsid w:val="003E0908"/>
    <w:rsid w:val="003E0987"/>
    <w:rsid w:val="003E0B4D"/>
    <w:rsid w:val="003E0B52"/>
    <w:rsid w:val="003E0B9C"/>
    <w:rsid w:val="003E0CEB"/>
    <w:rsid w:val="003E0FD1"/>
    <w:rsid w:val="003E101B"/>
    <w:rsid w:val="003E10DB"/>
    <w:rsid w:val="003E1154"/>
    <w:rsid w:val="003E1590"/>
    <w:rsid w:val="003E15C2"/>
    <w:rsid w:val="003E1617"/>
    <w:rsid w:val="003E1755"/>
    <w:rsid w:val="003E1852"/>
    <w:rsid w:val="003E18C1"/>
    <w:rsid w:val="003E18EF"/>
    <w:rsid w:val="003E1A2C"/>
    <w:rsid w:val="003E1BBC"/>
    <w:rsid w:val="003E1D4A"/>
    <w:rsid w:val="003E1DA9"/>
    <w:rsid w:val="003E1DD7"/>
    <w:rsid w:val="003E1E3A"/>
    <w:rsid w:val="003E1F8E"/>
    <w:rsid w:val="003E204A"/>
    <w:rsid w:val="003E215C"/>
    <w:rsid w:val="003E22CB"/>
    <w:rsid w:val="003E24F6"/>
    <w:rsid w:val="003E26D0"/>
    <w:rsid w:val="003E283C"/>
    <w:rsid w:val="003E2B42"/>
    <w:rsid w:val="003E2BD0"/>
    <w:rsid w:val="003E2D46"/>
    <w:rsid w:val="003E2FE4"/>
    <w:rsid w:val="003E308B"/>
    <w:rsid w:val="003E309B"/>
    <w:rsid w:val="003E3137"/>
    <w:rsid w:val="003E3267"/>
    <w:rsid w:val="003E332B"/>
    <w:rsid w:val="003E334A"/>
    <w:rsid w:val="003E3358"/>
    <w:rsid w:val="003E338F"/>
    <w:rsid w:val="003E33CE"/>
    <w:rsid w:val="003E3441"/>
    <w:rsid w:val="003E3518"/>
    <w:rsid w:val="003E36CA"/>
    <w:rsid w:val="003E37ED"/>
    <w:rsid w:val="003E392F"/>
    <w:rsid w:val="003E3A9A"/>
    <w:rsid w:val="003E3B81"/>
    <w:rsid w:val="003E3E69"/>
    <w:rsid w:val="003E3F3D"/>
    <w:rsid w:val="003E400B"/>
    <w:rsid w:val="003E4356"/>
    <w:rsid w:val="003E43BA"/>
    <w:rsid w:val="003E450C"/>
    <w:rsid w:val="003E47C6"/>
    <w:rsid w:val="003E47DF"/>
    <w:rsid w:val="003E4942"/>
    <w:rsid w:val="003E4D81"/>
    <w:rsid w:val="003E50C5"/>
    <w:rsid w:val="003E525B"/>
    <w:rsid w:val="003E5397"/>
    <w:rsid w:val="003E5411"/>
    <w:rsid w:val="003E545A"/>
    <w:rsid w:val="003E5623"/>
    <w:rsid w:val="003E581A"/>
    <w:rsid w:val="003E5AC3"/>
    <w:rsid w:val="003E5E48"/>
    <w:rsid w:val="003E60BD"/>
    <w:rsid w:val="003E616A"/>
    <w:rsid w:val="003E6392"/>
    <w:rsid w:val="003E64A7"/>
    <w:rsid w:val="003E6616"/>
    <w:rsid w:val="003E66FB"/>
    <w:rsid w:val="003E6755"/>
    <w:rsid w:val="003E6772"/>
    <w:rsid w:val="003E68A8"/>
    <w:rsid w:val="003E695B"/>
    <w:rsid w:val="003E6C2F"/>
    <w:rsid w:val="003E6D90"/>
    <w:rsid w:val="003E6E49"/>
    <w:rsid w:val="003E6F28"/>
    <w:rsid w:val="003E6F58"/>
    <w:rsid w:val="003E701E"/>
    <w:rsid w:val="003E7192"/>
    <w:rsid w:val="003E7371"/>
    <w:rsid w:val="003E75EC"/>
    <w:rsid w:val="003E7870"/>
    <w:rsid w:val="003E79B7"/>
    <w:rsid w:val="003E7A35"/>
    <w:rsid w:val="003E7C46"/>
    <w:rsid w:val="003E7CCB"/>
    <w:rsid w:val="003E7D5F"/>
    <w:rsid w:val="003F005A"/>
    <w:rsid w:val="003F00DF"/>
    <w:rsid w:val="003F0268"/>
    <w:rsid w:val="003F0426"/>
    <w:rsid w:val="003F0505"/>
    <w:rsid w:val="003F05DB"/>
    <w:rsid w:val="003F060C"/>
    <w:rsid w:val="003F061B"/>
    <w:rsid w:val="003F08D2"/>
    <w:rsid w:val="003F0969"/>
    <w:rsid w:val="003F0D96"/>
    <w:rsid w:val="003F0DFE"/>
    <w:rsid w:val="003F0E2A"/>
    <w:rsid w:val="003F0E8F"/>
    <w:rsid w:val="003F108C"/>
    <w:rsid w:val="003F1164"/>
    <w:rsid w:val="003F12DC"/>
    <w:rsid w:val="003F141C"/>
    <w:rsid w:val="003F165F"/>
    <w:rsid w:val="003F16B1"/>
    <w:rsid w:val="003F1925"/>
    <w:rsid w:val="003F1B34"/>
    <w:rsid w:val="003F1BC2"/>
    <w:rsid w:val="003F1BF5"/>
    <w:rsid w:val="003F1C93"/>
    <w:rsid w:val="003F1E45"/>
    <w:rsid w:val="003F1E9B"/>
    <w:rsid w:val="003F1F6B"/>
    <w:rsid w:val="003F1F98"/>
    <w:rsid w:val="003F200F"/>
    <w:rsid w:val="003F205E"/>
    <w:rsid w:val="003F2261"/>
    <w:rsid w:val="003F2468"/>
    <w:rsid w:val="003F265A"/>
    <w:rsid w:val="003F282B"/>
    <w:rsid w:val="003F289D"/>
    <w:rsid w:val="003F2919"/>
    <w:rsid w:val="003F2A74"/>
    <w:rsid w:val="003F2AE5"/>
    <w:rsid w:val="003F2D72"/>
    <w:rsid w:val="003F2EA0"/>
    <w:rsid w:val="003F3003"/>
    <w:rsid w:val="003F313B"/>
    <w:rsid w:val="003F3320"/>
    <w:rsid w:val="003F3574"/>
    <w:rsid w:val="003F3812"/>
    <w:rsid w:val="003F3C87"/>
    <w:rsid w:val="003F3E70"/>
    <w:rsid w:val="003F4193"/>
    <w:rsid w:val="003F424C"/>
    <w:rsid w:val="003F42EC"/>
    <w:rsid w:val="003F4342"/>
    <w:rsid w:val="003F43BE"/>
    <w:rsid w:val="003F4458"/>
    <w:rsid w:val="003F47A8"/>
    <w:rsid w:val="003F4817"/>
    <w:rsid w:val="003F4ACE"/>
    <w:rsid w:val="003F4AEB"/>
    <w:rsid w:val="003F4BB4"/>
    <w:rsid w:val="003F4DD8"/>
    <w:rsid w:val="003F53A6"/>
    <w:rsid w:val="003F5AD1"/>
    <w:rsid w:val="003F5AF3"/>
    <w:rsid w:val="003F5B8D"/>
    <w:rsid w:val="003F5F76"/>
    <w:rsid w:val="003F616A"/>
    <w:rsid w:val="003F61AC"/>
    <w:rsid w:val="003F61D9"/>
    <w:rsid w:val="003F6546"/>
    <w:rsid w:val="003F6571"/>
    <w:rsid w:val="003F664A"/>
    <w:rsid w:val="003F672B"/>
    <w:rsid w:val="003F67D1"/>
    <w:rsid w:val="003F680E"/>
    <w:rsid w:val="003F6F96"/>
    <w:rsid w:val="003F7046"/>
    <w:rsid w:val="003F7078"/>
    <w:rsid w:val="003F71C5"/>
    <w:rsid w:val="003F7286"/>
    <w:rsid w:val="003F750A"/>
    <w:rsid w:val="003F7524"/>
    <w:rsid w:val="003F77E1"/>
    <w:rsid w:val="003F7FA4"/>
    <w:rsid w:val="00400033"/>
    <w:rsid w:val="00400057"/>
    <w:rsid w:val="004002DF"/>
    <w:rsid w:val="0040045D"/>
    <w:rsid w:val="004005B8"/>
    <w:rsid w:val="00400895"/>
    <w:rsid w:val="004008C3"/>
    <w:rsid w:val="00400905"/>
    <w:rsid w:val="0040095E"/>
    <w:rsid w:val="004009C7"/>
    <w:rsid w:val="00400B0C"/>
    <w:rsid w:val="00400B55"/>
    <w:rsid w:val="00400C15"/>
    <w:rsid w:val="00400ECD"/>
    <w:rsid w:val="00400F85"/>
    <w:rsid w:val="00400FC7"/>
    <w:rsid w:val="0040107B"/>
    <w:rsid w:val="004017A9"/>
    <w:rsid w:val="00401B8F"/>
    <w:rsid w:val="00401CE2"/>
    <w:rsid w:val="00402046"/>
    <w:rsid w:val="0040214E"/>
    <w:rsid w:val="00402266"/>
    <w:rsid w:val="0040234C"/>
    <w:rsid w:val="0040256E"/>
    <w:rsid w:val="0040259B"/>
    <w:rsid w:val="004025F0"/>
    <w:rsid w:val="00402603"/>
    <w:rsid w:val="0040279E"/>
    <w:rsid w:val="00402924"/>
    <w:rsid w:val="00402940"/>
    <w:rsid w:val="004029D4"/>
    <w:rsid w:val="00402A43"/>
    <w:rsid w:val="00402A49"/>
    <w:rsid w:val="00402A88"/>
    <w:rsid w:val="00402CC8"/>
    <w:rsid w:val="00402D41"/>
    <w:rsid w:val="00402D7C"/>
    <w:rsid w:val="00402EE5"/>
    <w:rsid w:val="00402FA3"/>
    <w:rsid w:val="00402FC5"/>
    <w:rsid w:val="00403079"/>
    <w:rsid w:val="004030FF"/>
    <w:rsid w:val="0040317A"/>
    <w:rsid w:val="00403249"/>
    <w:rsid w:val="004033FA"/>
    <w:rsid w:val="00403447"/>
    <w:rsid w:val="00403A11"/>
    <w:rsid w:val="00403B23"/>
    <w:rsid w:val="00403C1C"/>
    <w:rsid w:val="00403C71"/>
    <w:rsid w:val="00403CE9"/>
    <w:rsid w:val="00403CFD"/>
    <w:rsid w:val="00403D32"/>
    <w:rsid w:val="00403E7C"/>
    <w:rsid w:val="004045F4"/>
    <w:rsid w:val="00404761"/>
    <w:rsid w:val="004047E7"/>
    <w:rsid w:val="00404934"/>
    <w:rsid w:val="00404939"/>
    <w:rsid w:val="00404AC0"/>
    <w:rsid w:val="00404D32"/>
    <w:rsid w:val="00404D5E"/>
    <w:rsid w:val="00404D83"/>
    <w:rsid w:val="00405094"/>
    <w:rsid w:val="00405099"/>
    <w:rsid w:val="0040515E"/>
    <w:rsid w:val="00405165"/>
    <w:rsid w:val="00405494"/>
    <w:rsid w:val="004054F4"/>
    <w:rsid w:val="00405763"/>
    <w:rsid w:val="004057A2"/>
    <w:rsid w:val="0040595E"/>
    <w:rsid w:val="00405CC8"/>
    <w:rsid w:val="00405F10"/>
    <w:rsid w:val="00405F30"/>
    <w:rsid w:val="00406214"/>
    <w:rsid w:val="004066CD"/>
    <w:rsid w:val="004066E5"/>
    <w:rsid w:val="00406989"/>
    <w:rsid w:val="00406D6F"/>
    <w:rsid w:val="00406D91"/>
    <w:rsid w:val="00406E07"/>
    <w:rsid w:val="00406F23"/>
    <w:rsid w:val="0040726F"/>
    <w:rsid w:val="0040738D"/>
    <w:rsid w:val="004073AD"/>
    <w:rsid w:val="004077F5"/>
    <w:rsid w:val="0040790F"/>
    <w:rsid w:val="004079DC"/>
    <w:rsid w:val="00407DA7"/>
    <w:rsid w:val="00407DD7"/>
    <w:rsid w:val="00407DE3"/>
    <w:rsid w:val="00407F83"/>
    <w:rsid w:val="00407F9F"/>
    <w:rsid w:val="0041007F"/>
    <w:rsid w:val="004105F7"/>
    <w:rsid w:val="0041078E"/>
    <w:rsid w:val="004107EF"/>
    <w:rsid w:val="0041092B"/>
    <w:rsid w:val="00410B5A"/>
    <w:rsid w:val="00410BD1"/>
    <w:rsid w:val="00410E68"/>
    <w:rsid w:val="00410EF4"/>
    <w:rsid w:val="00410FFA"/>
    <w:rsid w:val="0041132C"/>
    <w:rsid w:val="0041166B"/>
    <w:rsid w:val="004118C6"/>
    <w:rsid w:val="004118D8"/>
    <w:rsid w:val="0041192E"/>
    <w:rsid w:val="0041198C"/>
    <w:rsid w:val="00411998"/>
    <w:rsid w:val="00412070"/>
    <w:rsid w:val="00412226"/>
    <w:rsid w:val="0041230B"/>
    <w:rsid w:val="0041241D"/>
    <w:rsid w:val="0041258B"/>
    <w:rsid w:val="00412B3F"/>
    <w:rsid w:val="00412B69"/>
    <w:rsid w:val="00412B83"/>
    <w:rsid w:val="00412BE6"/>
    <w:rsid w:val="00412C0A"/>
    <w:rsid w:val="00412CB1"/>
    <w:rsid w:val="00412CE9"/>
    <w:rsid w:val="00412DE0"/>
    <w:rsid w:val="00412EC1"/>
    <w:rsid w:val="00413067"/>
    <w:rsid w:val="004130C3"/>
    <w:rsid w:val="0041339F"/>
    <w:rsid w:val="0041346B"/>
    <w:rsid w:val="004134FA"/>
    <w:rsid w:val="004137C2"/>
    <w:rsid w:val="00413A4A"/>
    <w:rsid w:val="00413A5C"/>
    <w:rsid w:val="00413F9E"/>
    <w:rsid w:val="0041404D"/>
    <w:rsid w:val="00414352"/>
    <w:rsid w:val="00414397"/>
    <w:rsid w:val="004147D8"/>
    <w:rsid w:val="004147ED"/>
    <w:rsid w:val="00414C1C"/>
    <w:rsid w:val="00414CF3"/>
    <w:rsid w:val="00414D43"/>
    <w:rsid w:val="00414D66"/>
    <w:rsid w:val="00414DA2"/>
    <w:rsid w:val="0041503D"/>
    <w:rsid w:val="0041508B"/>
    <w:rsid w:val="00415251"/>
    <w:rsid w:val="0041525F"/>
    <w:rsid w:val="00415288"/>
    <w:rsid w:val="00415361"/>
    <w:rsid w:val="004153A8"/>
    <w:rsid w:val="00415407"/>
    <w:rsid w:val="00415443"/>
    <w:rsid w:val="00415A03"/>
    <w:rsid w:val="00415EDB"/>
    <w:rsid w:val="0041601D"/>
    <w:rsid w:val="0041613B"/>
    <w:rsid w:val="00416140"/>
    <w:rsid w:val="00416233"/>
    <w:rsid w:val="00416268"/>
    <w:rsid w:val="004165E2"/>
    <w:rsid w:val="00416668"/>
    <w:rsid w:val="00416712"/>
    <w:rsid w:val="004168C9"/>
    <w:rsid w:val="004168F5"/>
    <w:rsid w:val="00416AE2"/>
    <w:rsid w:val="00416B4C"/>
    <w:rsid w:val="00416C1F"/>
    <w:rsid w:val="00416D91"/>
    <w:rsid w:val="00416E00"/>
    <w:rsid w:val="00416E19"/>
    <w:rsid w:val="00416EC1"/>
    <w:rsid w:val="00416EF0"/>
    <w:rsid w:val="00416F66"/>
    <w:rsid w:val="00416FDE"/>
    <w:rsid w:val="0041721D"/>
    <w:rsid w:val="004174B4"/>
    <w:rsid w:val="004174DD"/>
    <w:rsid w:val="004175D1"/>
    <w:rsid w:val="004175F5"/>
    <w:rsid w:val="00417600"/>
    <w:rsid w:val="00417954"/>
    <w:rsid w:val="0041795C"/>
    <w:rsid w:val="00417AC6"/>
    <w:rsid w:val="00417CCB"/>
    <w:rsid w:val="00417F9F"/>
    <w:rsid w:val="004203F9"/>
    <w:rsid w:val="00420427"/>
    <w:rsid w:val="004204D6"/>
    <w:rsid w:val="00420687"/>
    <w:rsid w:val="004207F9"/>
    <w:rsid w:val="00420C8B"/>
    <w:rsid w:val="00420C92"/>
    <w:rsid w:val="00420CB2"/>
    <w:rsid w:val="00420DCD"/>
    <w:rsid w:val="00420E3B"/>
    <w:rsid w:val="00420EA3"/>
    <w:rsid w:val="00421266"/>
    <w:rsid w:val="004212B9"/>
    <w:rsid w:val="0042141C"/>
    <w:rsid w:val="004214FB"/>
    <w:rsid w:val="0042164F"/>
    <w:rsid w:val="004217ED"/>
    <w:rsid w:val="00421937"/>
    <w:rsid w:val="00421A16"/>
    <w:rsid w:val="00421EEC"/>
    <w:rsid w:val="004221DE"/>
    <w:rsid w:val="004221FB"/>
    <w:rsid w:val="00422219"/>
    <w:rsid w:val="00422471"/>
    <w:rsid w:val="004226E5"/>
    <w:rsid w:val="00422B15"/>
    <w:rsid w:val="00422BCC"/>
    <w:rsid w:val="00422CC9"/>
    <w:rsid w:val="00422D72"/>
    <w:rsid w:val="00422EF3"/>
    <w:rsid w:val="00422F2E"/>
    <w:rsid w:val="00423000"/>
    <w:rsid w:val="00423168"/>
    <w:rsid w:val="004231F4"/>
    <w:rsid w:val="004232FD"/>
    <w:rsid w:val="00423356"/>
    <w:rsid w:val="004233E1"/>
    <w:rsid w:val="00423526"/>
    <w:rsid w:val="004235BB"/>
    <w:rsid w:val="00423768"/>
    <w:rsid w:val="00423942"/>
    <w:rsid w:val="004239B0"/>
    <w:rsid w:val="004239CE"/>
    <w:rsid w:val="00423B98"/>
    <w:rsid w:val="00423CE8"/>
    <w:rsid w:val="00423FB3"/>
    <w:rsid w:val="004240FD"/>
    <w:rsid w:val="00424407"/>
    <w:rsid w:val="0042451D"/>
    <w:rsid w:val="004245A6"/>
    <w:rsid w:val="0042478E"/>
    <w:rsid w:val="00424A0C"/>
    <w:rsid w:val="00424A66"/>
    <w:rsid w:val="00424B7B"/>
    <w:rsid w:val="00424B9D"/>
    <w:rsid w:val="00424BB5"/>
    <w:rsid w:val="00424CCA"/>
    <w:rsid w:val="00424D18"/>
    <w:rsid w:val="00424D4C"/>
    <w:rsid w:val="00424DA2"/>
    <w:rsid w:val="00424ED5"/>
    <w:rsid w:val="00424FA6"/>
    <w:rsid w:val="00425095"/>
    <w:rsid w:val="004251D5"/>
    <w:rsid w:val="0042540B"/>
    <w:rsid w:val="004254EB"/>
    <w:rsid w:val="00425599"/>
    <w:rsid w:val="004255A6"/>
    <w:rsid w:val="0042567E"/>
    <w:rsid w:val="004256C8"/>
    <w:rsid w:val="0042576C"/>
    <w:rsid w:val="004258D3"/>
    <w:rsid w:val="004258FB"/>
    <w:rsid w:val="00425B2A"/>
    <w:rsid w:val="00425BC5"/>
    <w:rsid w:val="00425D5D"/>
    <w:rsid w:val="00425DFD"/>
    <w:rsid w:val="00425E28"/>
    <w:rsid w:val="00425F78"/>
    <w:rsid w:val="00426001"/>
    <w:rsid w:val="004261AF"/>
    <w:rsid w:val="00426407"/>
    <w:rsid w:val="00426433"/>
    <w:rsid w:val="00426543"/>
    <w:rsid w:val="00426547"/>
    <w:rsid w:val="00426ABB"/>
    <w:rsid w:val="00426ADF"/>
    <w:rsid w:val="00426D24"/>
    <w:rsid w:val="00426EE8"/>
    <w:rsid w:val="004270AD"/>
    <w:rsid w:val="00427125"/>
    <w:rsid w:val="004273C4"/>
    <w:rsid w:val="0042742A"/>
    <w:rsid w:val="00427483"/>
    <w:rsid w:val="004276B1"/>
    <w:rsid w:val="004278D5"/>
    <w:rsid w:val="0042791F"/>
    <w:rsid w:val="00427B81"/>
    <w:rsid w:val="00427CC6"/>
    <w:rsid w:val="00427D00"/>
    <w:rsid w:val="00427F19"/>
    <w:rsid w:val="00430017"/>
    <w:rsid w:val="004300EC"/>
    <w:rsid w:val="00430106"/>
    <w:rsid w:val="004301E2"/>
    <w:rsid w:val="004302C6"/>
    <w:rsid w:val="00430328"/>
    <w:rsid w:val="00430398"/>
    <w:rsid w:val="0043045E"/>
    <w:rsid w:val="0043049F"/>
    <w:rsid w:val="004305BE"/>
    <w:rsid w:val="004306A9"/>
    <w:rsid w:val="004306B9"/>
    <w:rsid w:val="00430707"/>
    <w:rsid w:val="00430780"/>
    <w:rsid w:val="0043083D"/>
    <w:rsid w:val="004308D4"/>
    <w:rsid w:val="00430B1F"/>
    <w:rsid w:val="00430DF2"/>
    <w:rsid w:val="00430E1B"/>
    <w:rsid w:val="00430EDA"/>
    <w:rsid w:val="00431086"/>
    <w:rsid w:val="00431092"/>
    <w:rsid w:val="004311D7"/>
    <w:rsid w:val="0043148C"/>
    <w:rsid w:val="0043167A"/>
    <w:rsid w:val="00431737"/>
    <w:rsid w:val="00431739"/>
    <w:rsid w:val="00431CA6"/>
    <w:rsid w:val="00431D9C"/>
    <w:rsid w:val="00431DD1"/>
    <w:rsid w:val="00432044"/>
    <w:rsid w:val="00432158"/>
    <w:rsid w:val="0043215A"/>
    <w:rsid w:val="00432207"/>
    <w:rsid w:val="00432225"/>
    <w:rsid w:val="004323C3"/>
    <w:rsid w:val="0043247D"/>
    <w:rsid w:val="004326A5"/>
    <w:rsid w:val="00432746"/>
    <w:rsid w:val="00432785"/>
    <w:rsid w:val="00432844"/>
    <w:rsid w:val="004329C0"/>
    <w:rsid w:val="00432AEB"/>
    <w:rsid w:val="00432C5A"/>
    <w:rsid w:val="004330C8"/>
    <w:rsid w:val="00433117"/>
    <w:rsid w:val="004332AA"/>
    <w:rsid w:val="00433398"/>
    <w:rsid w:val="00433444"/>
    <w:rsid w:val="0043365B"/>
    <w:rsid w:val="004337A1"/>
    <w:rsid w:val="00433851"/>
    <w:rsid w:val="00433854"/>
    <w:rsid w:val="00433AAA"/>
    <w:rsid w:val="00433AFC"/>
    <w:rsid w:val="00433AFD"/>
    <w:rsid w:val="00433BFB"/>
    <w:rsid w:val="00433C6E"/>
    <w:rsid w:val="00433C74"/>
    <w:rsid w:val="00433ECA"/>
    <w:rsid w:val="00433FD8"/>
    <w:rsid w:val="00433FEF"/>
    <w:rsid w:val="0043415E"/>
    <w:rsid w:val="0043424B"/>
    <w:rsid w:val="004342C8"/>
    <w:rsid w:val="00434597"/>
    <w:rsid w:val="004345FC"/>
    <w:rsid w:val="0043470A"/>
    <w:rsid w:val="00434841"/>
    <w:rsid w:val="004348EF"/>
    <w:rsid w:val="00434980"/>
    <w:rsid w:val="004349C5"/>
    <w:rsid w:val="004349FF"/>
    <w:rsid w:val="00434CBE"/>
    <w:rsid w:val="00434ED3"/>
    <w:rsid w:val="0043500C"/>
    <w:rsid w:val="00435199"/>
    <w:rsid w:val="0043519C"/>
    <w:rsid w:val="004352AC"/>
    <w:rsid w:val="0043533E"/>
    <w:rsid w:val="00435472"/>
    <w:rsid w:val="0043579C"/>
    <w:rsid w:val="0043593B"/>
    <w:rsid w:val="00435A45"/>
    <w:rsid w:val="00435A95"/>
    <w:rsid w:val="00435AD6"/>
    <w:rsid w:val="00435D08"/>
    <w:rsid w:val="00435D09"/>
    <w:rsid w:val="00435F0E"/>
    <w:rsid w:val="0043604D"/>
    <w:rsid w:val="004360F9"/>
    <w:rsid w:val="0043622E"/>
    <w:rsid w:val="004362B8"/>
    <w:rsid w:val="00436349"/>
    <w:rsid w:val="004363D7"/>
    <w:rsid w:val="00436447"/>
    <w:rsid w:val="004364BA"/>
    <w:rsid w:val="004365F9"/>
    <w:rsid w:val="004368E4"/>
    <w:rsid w:val="0043696F"/>
    <w:rsid w:val="00436B29"/>
    <w:rsid w:val="00436B6E"/>
    <w:rsid w:val="00436C96"/>
    <w:rsid w:val="00436F53"/>
    <w:rsid w:val="00436F6A"/>
    <w:rsid w:val="004370D2"/>
    <w:rsid w:val="00437157"/>
    <w:rsid w:val="00437223"/>
    <w:rsid w:val="004373E0"/>
    <w:rsid w:val="00437509"/>
    <w:rsid w:val="00437847"/>
    <w:rsid w:val="00437B47"/>
    <w:rsid w:val="00437BC8"/>
    <w:rsid w:val="00437CE3"/>
    <w:rsid w:val="00437D18"/>
    <w:rsid w:val="00437E08"/>
    <w:rsid w:val="00437F62"/>
    <w:rsid w:val="00437FA4"/>
    <w:rsid w:val="00440077"/>
    <w:rsid w:val="00440176"/>
    <w:rsid w:val="0044019A"/>
    <w:rsid w:val="004401A7"/>
    <w:rsid w:val="004404FC"/>
    <w:rsid w:val="004405EE"/>
    <w:rsid w:val="00440662"/>
    <w:rsid w:val="004406BA"/>
    <w:rsid w:val="004406E4"/>
    <w:rsid w:val="004407D0"/>
    <w:rsid w:val="00440871"/>
    <w:rsid w:val="004409BF"/>
    <w:rsid w:val="00440C48"/>
    <w:rsid w:val="00440CB4"/>
    <w:rsid w:val="00440DD3"/>
    <w:rsid w:val="00441027"/>
    <w:rsid w:val="00441035"/>
    <w:rsid w:val="004412CE"/>
    <w:rsid w:val="004412DF"/>
    <w:rsid w:val="00441698"/>
    <w:rsid w:val="004416E6"/>
    <w:rsid w:val="00441804"/>
    <w:rsid w:val="00441828"/>
    <w:rsid w:val="0044184E"/>
    <w:rsid w:val="004418ED"/>
    <w:rsid w:val="00441955"/>
    <w:rsid w:val="00441A6C"/>
    <w:rsid w:val="00441BAA"/>
    <w:rsid w:val="00441D9A"/>
    <w:rsid w:val="00441DBA"/>
    <w:rsid w:val="00442467"/>
    <w:rsid w:val="00442469"/>
    <w:rsid w:val="004425C3"/>
    <w:rsid w:val="00442632"/>
    <w:rsid w:val="0044282A"/>
    <w:rsid w:val="0044285E"/>
    <w:rsid w:val="00442922"/>
    <w:rsid w:val="0044296F"/>
    <w:rsid w:val="00442A5D"/>
    <w:rsid w:val="00442BF4"/>
    <w:rsid w:val="00442C3B"/>
    <w:rsid w:val="00442D1A"/>
    <w:rsid w:val="00442EBD"/>
    <w:rsid w:val="00443094"/>
    <w:rsid w:val="004434D5"/>
    <w:rsid w:val="00443559"/>
    <w:rsid w:val="00443560"/>
    <w:rsid w:val="0044367F"/>
    <w:rsid w:val="00443705"/>
    <w:rsid w:val="00443B7C"/>
    <w:rsid w:val="00443D7D"/>
    <w:rsid w:val="00443EB1"/>
    <w:rsid w:val="00443FB6"/>
    <w:rsid w:val="00443FC2"/>
    <w:rsid w:val="0044407B"/>
    <w:rsid w:val="004440C3"/>
    <w:rsid w:val="004440D4"/>
    <w:rsid w:val="0044417D"/>
    <w:rsid w:val="004441FE"/>
    <w:rsid w:val="00444295"/>
    <w:rsid w:val="0044434D"/>
    <w:rsid w:val="004447B2"/>
    <w:rsid w:val="004449A8"/>
    <w:rsid w:val="00444AE3"/>
    <w:rsid w:val="00444C6A"/>
    <w:rsid w:val="00444DEF"/>
    <w:rsid w:val="00444EA1"/>
    <w:rsid w:val="00444EEE"/>
    <w:rsid w:val="00444EFD"/>
    <w:rsid w:val="00444F73"/>
    <w:rsid w:val="00445222"/>
    <w:rsid w:val="004452A2"/>
    <w:rsid w:val="004452AA"/>
    <w:rsid w:val="0044559B"/>
    <w:rsid w:val="0044567A"/>
    <w:rsid w:val="0044568A"/>
    <w:rsid w:val="004457A3"/>
    <w:rsid w:val="00445877"/>
    <w:rsid w:val="004458EA"/>
    <w:rsid w:val="0044591C"/>
    <w:rsid w:val="00445D9E"/>
    <w:rsid w:val="00445F03"/>
    <w:rsid w:val="00445F9C"/>
    <w:rsid w:val="0044605E"/>
    <w:rsid w:val="004460D2"/>
    <w:rsid w:val="00446133"/>
    <w:rsid w:val="0044617E"/>
    <w:rsid w:val="004462FC"/>
    <w:rsid w:val="004463C2"/>
    <w:rsid w:val="004465F5"/>
    <w:rsid w:val="00446768"/>
    <w:rsid w:val="0044690A"/>
    <w:rsid w:val="00446AEB"/>
    <w:rsid w:val="00446B09"/>
    <w:rsid w:val="00446B5C"/>
    <w:rsid w:val="00446C13"/>
    <w:rsid w:val="00446C93"/>
    <w:rsid w:val="00446D42"/>
    <w:rsid w:val="00446FC4"/>
    <w:rsid w:val="0044705E"/>
    <w:rsid w:val="00447187"/>
    <w:rsid w:val="004474A0"/>
    <w:rsid w:val="0044750A"/>
    <w:rsid w:val="00447627"/>
    <w:rsid w:val="0044768E"/>
    <w:rsid w:val="004476FA"/>
    <w:rsid w:val="00447713"/>
    <w:rsid w:val="0044773F"/>
    <w:rsid w:val="00447915"/>
    <w:rsid w:val="00447EE0"/>
    <w:rsid w:val="00447FE6"/>
    <w:rsid w:val="004500EA"/>
    <w:rsid w:val="00450148"/>
    <w:rsid w:val="00450272"/>
    <w:rsid w:val="004502A6"/>
    <w:rsid w:val="004503FE"/>
    <w:rsid w:val="0045074C"/>
    <w:rsid w:val="00450770"/>
    <w:rsid w:val="004507FF"/>
    <w:rsid w:val="00450922"/>
    <w:rsid w:val="00450B71"/>
    <w:rsid w:val="00450BF1"/>
    <w:rsid w:val="00450CB4"/>
    <w:rsid w:val="00450F2F"/>
    <w:rsid w:val="00451204"/>
    <w:rsid w:val="00451409"/>
    <w:rsid w:val="004516DB"/>
    <w:rsid w:val="0045170B"/>
    <w:rsid w:val="0045171E"/>
    <w:rsid w:val="00451922"/>
    <w:rsid w:val="00451929"/>
    <w:rsid w:val="00451C2D"/>
    <w:rsid w:val="0045203F"/>
    <w:rsid w:val="004520E4"/>
    <w:rsid w:val="00452784"/>
    <w:rsid w:val="004527C7"/>
    <w:rsid w:val="004529A3"/>
    <w:rsid w:val="00452A35"/>
    <w:rsid w:val="00452A7E"/>
    <w:rsid w:val="00452A81"/>
    <w:rsid w:val="00452B08"/>
    <w:rsid w:val="00452C43"/>
    <w:rsid w:val="00452CFA"/>
    <w:rsid w:val="0045302E"/>
    <w:rsid w:val="0045329E"/>
    <w:rsid w:val="00453330"/>
    <w:rsid w:val="004535F8"/>
    <w:rsid w:val="0045369C"/>
    <w:rsid w:val="00453725"/>
    <w:rsid w:val="00453743"/>
    <w:rsid w:val="00453745"/>
    <w:rsid w:val="00453836"/>
    <w:rsid w:val="0045390B"/>
    <w:rsid w:val="004539A3"/>
    <w:rsid w:val="004539E8"/>
    <w:rsid w:val="00453A81"/>
    <w:rsid w:val="00453CDC"/>
    <w:rsid w:val="00453D82"/>
    <w:rsid w:val="00453F5A"/>
    <w:rsid w:val="00454031"/>
    <w:rsid w:val="0045403E"/>
    <w:rsid w:val="004541B5"/>
    <w:rsid w:val="0045438F"/>
    <w:rsid w:val="0045449B"/>
    <w:rsid w:val="0045456B"/>
    <w:rsid w:val="004546B5"/>
    <w:rsid w:val="004547D7"/>
    <w:rsid w:val="0045492A"/>
    <w:rsid w:val="00454EBC"/>
    <w:rsid w:val="00454EE1"/>
    <w:rsid w:val="00454EE6"/>
    <w:rsid w:val="00454FB7"/>
    <w:rsid w:val="00454FF0"/>
    <w:rsid w:val="0045502D"/>
    <w:rsid w:val="004551A9"/>
    <w:rsid w:val="00455268"/>
    <w:rsid w:val="00455304"/>
    <w:rsid w:val="00455482"/>
    <w:rsid w:val="0045556F"/>
    <w:rsid w:val="00455616"/>
    <w:rsid w:val="00455625"/>
    <w:rsid w:val="00455629"/>
    <w:rsid w:val="00455A31"/>
    <w:rsid w:val="00455A95"/>
    <w:rsid w:val="00455AD2"/>
    <w:rsid w:val="00455B5A"/>
    <w:rsid w:val="00455E1E"/>
    <w:rsid w:val="0045607A"/>
    <w:rsid w:val="004560C6"/>
    <w:rsid w:val="0045625A"/>
    <w:rsid w:val="004563D1"/>
    <w:rsid w:val="00456471"/>
    <w:rsid w:val="004569AE"/>
    <w:rsid w:val="00456B67"/>
    <w:rsid w:val="00456D0F"/>
    <w:rsid w:val="00456E67"/>
    <w:rsid w:val="00456EFB"/>
    <w:rsid w:val="00456FB3"/>
    <w:rsid w:val="0045718D"/>
    <w:rsid w:val="00457247"/>
    <w:rsid w:val="004573E5"/>
    <w:rsid w:val="004574AB"/>
    <w:rsid w:val="004574D3"/>
    <w:rsid w:val="0045766A"/>
    <w:rsid w:val="00457918"/>
    <w:rsid w:val="0045798D"/>
    <w:rsid w:val="0045799F"/>
    <w:rsid w:val="00457A26"/>
    <w:rsid w:val="00460030"/>
    <w:rsid w:val="00460068"/>
    <w:rsid w:val="004600EC"/>
    <w:rsid w:val="0046088C"/>
    <w:rsid w:val="004608C4"/>
    <w:rsid w:val="00460B68"/>
    <w:rsid w:val="00460BD9"/>
    <w:rsid w:val="00460D20"/>
    <w:rsid w:val="00460EB2"/>
    <w:rsid w:val="004611E9"/>
    <w:rsid w:val="00461306"/>
    <w:rsid w:val="004613A4"/>
    <w:rsid w:val="004614AD"/>
    <w:rsid w:val="0046159C"/>
    <w:rsid w:val="004615F8"/>
    <w:rsid w:val="00461631"/>
    <w:rsid w:val="0046189F"/>
    <w:rsid w:val="0046198B"/>
    <w:rsid w:val="004619F4"/>
    <w:rsid w:val="00461A12"/>
    <w:rsid w:val="00461AD9"/>
    <w:rsid w:val="00461B50"/>
    <w:rsid w:val="00461CAF"/>
    <w:rsid w:val="00461DDF"/>
    <w:rsid w:val="00461E80"/>
    <w:rsid w:val="0046202F"/>
    <w:rsid w:val="004622D6"/>
    <w:rsid w:val="00462304"/>
    <w:rsid w:val="0046241F"/>
    <w:rsid w:val="00462445"/>
    <w:rsid w:val="004627F4"/>
    <w:rsid w:val="00462900"/>
    <w:rsid w:val="0046298F"/>
    <w:rsid w:val="00462B85"/>
    <w:rsid w:val="00462BC1"/>
    <w:rsid w:val="00462CD3"/>
    <w:rsid w:val="00462E35"/>
    <w:rsid w:val="00462E52"/>
    <w:rsid w:val="00462E9B"/>
    <w:rsid w:val="00462EC1"/>
    <w:rsid w:val="00462EEC"/>
    <w:rsid w:val="004630E2"/>
    <w:rsid w:val="00463114"/>
    <w:rsid w:val="004631B3"/>
    <w:rsid w:val="00463391"/>
    <w:rsid w:val="004633F5"/>
    <w:rsid w:val="00463483"/>
    <w:rsid w:val="00463561"/>
    <w:rsid w:val="0046369E"/>
    <w:rsid w:val="004636FA"/>
    <w:rsid w:val="00463AA6"/>
    <w:rsid w:val="00463B71"/>
    <w:rsid w:val="00463EF8"/>
    <w:rsid w:val="00463F90"/>
    <w:rsid w:val="00464218"/>
    <w:rsid w:val="00464369"/>
    <w:rsid w:val="0046482C"/>
    <w:rsid w:val="00464960"/>
    <w:rsid w:val="00464CDE"/>
    <w:rsid w:val="00465113"/>
    <w:rsid w:val="00465137"/>
    <w:rsid w:val="004651CA"/>
    <w:rsid w:val="00465427"/>
    <w:rsid w:val="00465433"/>
    <w:rsid w:val="004655AF"/>
    <w:rsid w:val="004655FB"/>
    <w:rsid w:val="00465602"/>
    <w:rsid w:val="0046585B"/>
    <w:rsid w:val="004658A4"/>
    <w:rsid w:val="00465B2E"/>
    <w:rsid w:val="00465DAE"/>
    <w:rsid w:val="00465DEB"/>
    <w:rsid w:val="00465DFF"/>
    <w:rsid w:val="00465EEF"/>
    <w:rsid w:val="00465FA6"/>
    <w:rsid w:val="00466140"/>
    <w:rsid w:val="0046615D"/>
    <w:rsid w:val="00466263"/>
    <w:rsid w:val="004662D3"/>
    <w:rsid w:val="004663F9"/>
    <w:rsid w:val="0046643C"/>
    <w:rsid w:val="00466443"/>
    <w:rsid w:val="004665CB"/>
    <w:rsid w:val="0046669D"/>
    <w:rsid w:val="004666C5"/>
    <w:rsid w:val="0046679E"/>
    <w:rsid w:val="004667AD"/>
    <w:rsid w:val="0046681F"/>
    <w:rsid w:val="00466C7C"/>
    <w:rsid w:val="00466CC5"/>
    <w:rsid w:val="00466EAA"/>
    <w:rsid w:val="00466EDF"/>
    <w:rsid w:val="00466F48"/>
    <w:rsid w:val="00466F52"/>
    <w:rsid w:val="00466FEE"/>
    <w:rsid w:val="00467049"/>
    <w:rsid w:val="0046707D"/>
    <w:rsid w:val="004670CF"/>
    <w:rsid w:val="00467191"/>
    <w:rsid w:val="004671B9"/>
    <w:rsid w:val="0046726F"/>
    <w:rsid w:val="004672F8"/>
    <w:rsid w:val="004673A3"/>
    <w:rsid w:val="00467520"/>
    <w:rsid w:val="00467535"/>
    <w:rsid w:val="004677F7"/>
    <w:rsid w:val="00467942"/>
    <w:rsid w:val="00467AA9"/>
    <w:rsid w:val="00467B84"/>
    <w:rsid w:val="00467C7A"/>
    <w:rsid w:val="00467DEF"/>
    <w:rsid w:val="00467E82"/>
    <w:rsid w:val="004702F3"/>
    <w:rsid w:val="00470635"/>
    <w:rsid w:val="004706B0"/>
    <w:rsid w:val="0047082A"/>
    <w:rsid w:val="0047097F"/>
    <w:rsid w:val="00470A03"/>
    <w:rsid w:val="00470BC5"/>
    <w:rsid w:val="00470C16"/>
    <w:rsid w:val="00470E1B"/>
    <w:rsid w:val="004712A1"/>
    <w:rsid w:val="004712C5"/>
    <w:rsid w:val="004714E8"/>
    <w:rsid w:val="0047157C"/>
    <w:rsid w:val="0047185D"/>
    <w:rsid w:val="004719B1"/>
    <w:rsid w:val="00471B60"/>
    <w:rsid w:val="00471B8D"/>
    <w:rsid w:val="00471C01"/>
    <w:rsid w:val="00471C89"/>
    <w:rsid w:val="00471CA8"/>
    <w:rsid w:val="00471D4F"/>
    <w:rsid w:val="00471D8E"/>
    <w:rsid w:val="00472092"/>
    <w:rsid w:val="0047223F"/>
    <w:rsid w:val="00472569"/>
    <w:rsid w:val="004725A8"/>
    <w:rsid w:val="004725BE"/>
    <w:rsid w:val="00472915"/>
    <w:rsid w:val="00472958"/>
    <w:rsid w:val="004729F5"/>
    <w:rsid w:val="00472A4D"/>
    <w:rsid w:val="00472E1E"/>
    <w:rsid w:val="004730BF"/>
    <w:rsid w:val="0047317E"/>
    <w:rsid w:val="00473199"/>
    <w:rsid w:val="00473349"/>
    <w:rsid w:val="00473379"/>
    <w:rsid w:val="0047382B"/>
    <w:rsid w:val="00473898"/>
    <w:rsid w:val="00473909"/>
    <w:rsid w:val="00473950"/>
    <w:rsid w:val="00473ACA"/>
    <w:rsid w:val="00473B21"/>
    <w:rsid w:val="00473B22"/>
    <w:rsid w:val="00473BF7"/>
    <w:rsid w:val="00473D05"/>
    <w:rsid w:val="00473E36"/>
    <w:rsid w:val="00474050"/>
    <w:rsid w:val="00474174"/>
    <w:rsid w:val="0047419B"/>
    <w:rsid w:val="004745ED"/>
    <w:rsid w:val="004745F2"/>
    <w:rsid w:val="00474862"/>
    <w:rsid w:val="004748D6"/>
    <w:rsid w:val="00474993"/>
    <w:rsid w:val="00474A7B"/>
    <w:rsid w:val="00474E0C"/>
    <w:rsid w:val="00475114"/>
    <w:rsid w:val="0047517C"/>
    <w:rsid w:val="004751AE"/>
    <w:rsid w:val="00475452"/>
    <w:rsid w:val="004754E5"/>
    <w:rsid w:val="0047565A"/>
    <w:rsid w:val="00475775"/>
    <w:rsid w:val="004757D8"/>
    <w:rsid w:val="0047586E"/>
    <w:rsid w:val="004758C1"/>
    <w:rsid w:val="00475933"/>
    <w:rsid w:val="00475AF7"/>
    <w:rsid w:val="00475B82"/>
    <w:rsid w:val="00475BCA"/>
    <w:rsid w:val="00475CA6"/>
    <w:rsid w:val="00475D74"/>
    <w:rsid w:val="00475DAA"/>
    <w:rsid w:val="00475DF8"/>
    <w:rsid w:val="00475EF3"/>
    <w:rsid w:val="00475F8A"/>
    <w:rsid w:val="004763B3"/>
    <w:rsid w:val="00476694"/>
    <w:rsid w:val="004768B5"/>
    <w:rsid w:val="00476918"/>
    <w:rsid w:val="00476A57"/>
    <w:rsid w:val="00476CED"/>
    <w:rsid w:val="00476EE3"/>
    <w:rsid w:val="00477051"/>
    <w:rsid w:val="00477052"/>
    <w:rsid w:val="00477166"/>
    <w:rsid w:val="004771B1"/>
    <w:rsid w:val="0047727F"/>
    <w:rsid w:val="004772DD"/>
    <w:rsid w:val="00477506"/>
    <w:rsid w:val="004776D4"/>
    <w:rsid w:val="004776EB"/>
    <w:rsid w:val="00477798"/>
    <w:rsid w:val="00477815"/>
    <w:rsid w:val="00477A0D"/>
    <w:rsid w:val="00477A4C"/>
    <w:rsid w:val="00477AFC"/>
    <w:rsid w:val="00480055"/>
    <w:rsid w:val="004802D5"/>
    <w:rsid w:val="0048037F"/>
    <w:rsid w:val="004803B1"/>
    <w:rsid w:val="004803C0"/>
    <w:rsid w:val="00480479"/>
    <w:rsid w:val="004804C3"/>
    <w:rsid w:val="00480600"/>
    <w:rsid w:val="0048079B"/>
    <w:rsid w:val="004807C6"/>
    <w:rsid w:val="00480813"/>
    <w:rsid w:val="00480C06"/>
    <w:rsid w:val="00480E5A"/>
    <w:rsid w:val="00480E8F"/>
    <w:rsid w:val="00480EF0"/>
    <w:rsid w:val="00480F5F"/>
    <w:rsid w:val="00480F96"/>
    <w:rsid w:val="004810D3"/>
    <w:rsid w:val="004816AD"/>
    <w:rsid w:val="004816C9"/>
    <w:rsid w:val="00481A00"/>
    <w:rsid w:val="00481BEF"/>
    <w:rsid w:val="00481CF7"/>
    <w:rsid w:val="00481D85"/>
    <w:rsid w:val="00481DFB"/>
    <w:rsid w:val="00481E0B"/>
    <w:rsid w:val="00482172"/>
    <w:rsid w:val="00482363"/>
    <w:rsid w:val="004823BD"/>
    <w:rsid w:val="004824CB"/>
    <w:rsid w:val="00482677"/>
    <w:rsid w:val="0048278A"/>
    <w:rsid w:val="00482895"/>
    <w:rsid w:val="0048293F"/>
    <w:rsid w:val="00482A12"/>
    <w:rsid w:val="00482A4C"/>
    <w:rsid w:val="00482C15"/>
    <w:rsid w:val="00482DEA"/>
    <w:rsid w:val="00482E25"/>
    <w:rsid w:val="00482E50"/>
    <w:rsid w:val="00482E57"/>
    <w:rsid w:val="00482F01"/>
    <w:rsid w:val="00482FB1"/>
    <w:rsid w:val="00483042"/>
    <w:rsid w:val="00483226"/>
    <w:rsid w:val="004833E5"/>
    <w:rsid w:val="00483656"/>
    <w:rsid w:val="00483826"/>
    <w:rsid w:val="00483956"/>
    <w:rsid w:val="004839A4"/>
    <w:rsid w:val="00483AE9"/>
    <w:rsid w:val="00483B2F"/>
    <w:rsid w:val="00483BC9"/>
    <w:rsid w:val="00483C1D"/>
    <w:rsid w:val="00483C43"/>
    <w:rsid w:val="00483D95"/>
    <w:rsid w:val="00483EC0"/>
    <w:rsid w:val="00483F1E"/>
    <w:rsid w:val="0048402A"/>
    <w:rsid w:val="004844B8"/>
    <w:rsid w:val="0048463E"/>
    <w:rsid w:val="00484654"/>
    <w:rsid w:val="004846E9"/>
    <w:rsid w:val="0048486C"/>
    <w:rsid w:val="00484912"/>
    <w:rsid w:val="00484953"/>
    <w:rsid w:val="00484BD0"/>
    <w:rsid w:val="00484EAD"/>
    <w:rsid w:val="00484EF3"/>
    <w:rsid w:val="00485097"/>
    <w:rsid w:val="004850F0"/>
    <w:rsid w:val="004852B6"/>
    <w:rsid w:val="00485341"/>
    <w:rsid w:val="00485378"/>
    <w:rsid w:val="004853C3"/>
    <w:rsid w:val="00485579"/>
    <w:rsid w:val="00485B6F"/>
    <w:rsid w:val="00485CA1"/>
    <w:rsid w:val="00485D12"/>
    <w:rsid w:val="00485D8A"/>
    <w:rsid w:val="00485E53"/>
    <w:rsid w:val="00485E64"/>
    <w:rsid w:val="00485F2E"/>
    <w:rsid w:val="00486006"/>
    <w:rsid w:val="004861AD"/>
    <w:rsid w:val="004861E8"/>
    <w:rsid w:val="0048648C"/>
    <w:rsid w:val="00486588"/>
    <w:rsid w:val="00486655"/>
    <w:rsid w:val="0048689E"/>
    <w:rsid w:val="004868E2"/>
    <w:rsid w:val="00486A3A"/>
    <w:rsid w:val="00486BD3"/>
    <w:rsid w:val="00486D5D"/>
    <w:rsid w:val="00486E4C"/>
    <w:rsid w:val="00486E9B"/>
    <w:rsid w:val="00486F2F"/>
    <w:rsid w:val="004870CD"/>
    <w:rsid w:val="0048715B"/>
    <w:rsid w:val="004871D1"/>
    <w:rsid w:val="00487230"/>
    <w:rsid w:val="004872A5"/>
    <w:rsid w:val="00487579"/>
    <w:rsid w:val="004875FD"/>
    <w:rsid w:val="00487826"/>
    <w:rsid w:val="00487993"/>
    <w:rsid w:val="004879A3"/>
    <w:rsid w:val="00487A67"/>
    <w:rsid w:val="00487A9D"/>
    <w:rsid w:val="00487C11"/>
    <w:rsid w:val="00487FB5"/>
    <w:rsid w:val="0049001B"/>
    <w:rsid w:val="0049009A"/>
    <w:rsid w:val="004900F7"/>
    <w:rsid w:val="00490149"/>
    <w:rsid w:val="00490202"/>
    <w:rsid w:val="004903BC"/>
    <w:rsid w:val="00490514"/>
    <w:rsid w:val="004905BA"/>
    <w:rsid w:val="0049062A"/>
    <w:rsid w:val="00490686"/>
    <w:rsid w:val="0049074A"/>
    <w:rsid w:val="004907A9"/>
    <w:rsid w:val="004909AC"/>
    <w:rsid w:val="004909B3"/>
    <w:rsid w:val="00490B84"/>
    <w:rsid w:val="00490BD2"/>
    <w:rsid w:val="00490D70"/>
    <w:rsid w:val="00490E67"/>
    <w:rsid w:val="00490E86"/>
    <w:rsid w:val="0049100B"/>
    <w:rsid w:val="00491056"/>
    <w:rsid w:val="00491542"/>
    <w:rsid w:val="004916AC"/>
    <w:rsid w:val="0049180B"/>
    <w:rsid w:val="00491894"/>
    <w:rsid w:val="00491BCF"/>
    <w:rsid w:val="00491C2F"/>
    <w:rsid w:val="00491E3D"/>
    <w:rsid w:val="004920AB"/>
    <w:rsid w:val="004923CE"/>
    <w:rsid w:val="00492454"/>
    <w:rsid w:val="004924A8"/>
    <w:rsid w:val="0049258F"/>
    <w:rsid w:val="004926E3"/>
    <w:rsid w:val="004927A3"/>
    <w:rsid w:val="004928A7"/>
    <w:rsid w:val="0049299A"/>
    <w:rsid w:val="00492AF0"/>
    <w:rsid w:val="00492CA8"/>
    <w:rsid w:val="00492D58"/>
    <w:rsid w:val="00492DAB"/>
    <w:rsid w:val="00492DD1"/>
    <w:rsid w:val="00492EB2"/>
    <w:rsid w:val="00492EDC"/>
    <w:rsid w:val="00492F74"/>
    <w:rsid w:val="0049302D"/>
    <w:rsid w:val="00493611"/>
    <w:rsid w:val="004936A4"/>
    <w:rsid w:val="00493A34"/>
    <w:rsid w:val="00493B02"/>
    <w:rsid w:val="00493B19"/>
    <w:rsid w:val="00493BA9"/>
    <w:rsid w:val="00493C2D"/>
    <w:rsid w:val="00493C47"/>
    <w:rsid w:val="00493CB8"/>
    <w:rsid w:val="00493DB0"/>
    <w:rsid w:val="00493DDA"/>
    <w:rsid w:val="00493EDC"/>
    <w:rsid w:val="00494080"/>
    <w:rsid w:val="00494276"/>
    <w:rsid w:val="00494301"/>
    <w:rsid w:val="004944AC"/>
    <w:rsid w:val="00494522"/>
    <w:rsid w:val="004948AC"/>
    <w:rsid w:val="00494A5B"/>
    <w:rsid w:val="00494B15"/>
    <w:rsid w:val="00494B28"/>
    <w:rsid w:val="00494DAA"/>
    <w:rsid w:val="00494F6E"/>
    <w:rsid w:val="00495545"/>
    <w:rsid w:val="0049589F"/>
    <w:rsid w:val="00495CF4"/>
    <w:rsid w:val="00495D09"/>
    <w:rsid w:val="00495F94"/>
    <w:rsid w:val="00495FB1"/>
    <w:rsid w:val="004960B0"/>
    <w:rsid w:val="00496305"/>
    <w:rsid w:val="00496379"/>
    <w:rsid w:val="00496397"/>
    <w:rsid w:val="00496520"/>
    <w:rsid w:val="004965AB"/>
    <w:rsid w:val="0049686B"/>
    <w:rsid w:val="0049698C"/>
    <w:rsid w:val="00496A79"/>
    <w:rsid w:val="00496A7A"/>
    <w:rsid w:val="00496A8A"/>
    <w:rsid w:val="00496B6B"/>
    <w:rsid w:val="00496BBB"/>
    <w:rsid w:val="00496C1C"/>
    <w:rsid w:val="00496EE3"/>
    <w:rsid w:val="004970DA"/>
    <w:rsid w:val="00497183"/>
    <w:rsid w:val="0049724A"/>
    <w:rsid w:val="00497261"/>
    <w:rsid w:val="004972EC"/>
    <w:rsid w:val="0049735C"/>
    <w:rsid w:val="004973F7"/>
    <w:rsid w:val="00497560"/>
    <w:rsid w:val="004976A4"/>
    <w:rsid w:val="0049783C"/>
    <w:rsid w:val="0049787B"/>
    <w:rsid w:val="00497919"/>
    <w:rsid w:val="00497A5C"/>
    <w:rsid w:val="00497B6F"/>
    <w:rsid w:val="00497E90"/>
    <w:rsid w:val="004A002C"/>
    <w:rsid w:val="004A0087"/>
    <w:rsid w:val="004A0454"/>
    <w:rsid w:val="004A0547"/>
    <w:rsid w:val="004A0562"/>
    <w:rsid w:val="004A0577"/>
    <w:rsid w:val="004A0583"/>
    <w:rsid w:val="004A05A8"/>
    <w:rsid w:val="004A082D"/>
    <w:rsid w:val="004A09EF"/>
    <w:rsid w:val="004A0ABF"/>
    <w:rsid w:val="004A0DB9"/>
    <w:rsid w:val="004A0E93"/>
    <w:rsid w:val="004A1181"/>
    <w:rsid w:val="004A11AA"/>
    <w:rsid w:val="004A1540"/>
    <w:rsid w:val="004A173E"/>
    <w:rsid w:val="004A17EA"/>
    <w:rsid w:val="004A1CD5"/>
    <w:rsid w:val="004A1D28"/>
    <w:rsid w:val="004A1D50"/>
    <w:rsid w:val="004A1DBF"/>
    <w:rsid w:val="004A1E9F"/>
    <w:rsid w:val="004A204E"/>
    <w:rsid w:val="004A2157"/>
    <w:rsid w:val="004A246C"/>
    <w:rsid w:val="004A2504"/>
    <w:rsid w:val="004A2815"/>
    <w:rsid w:val="004A2837"/>
    <w:rsid w:val="004A295D"/>
    <w:rsid w:val="004A2A75"/>
    <w:rsid w:val="004A2B92"/>
    <w:rsid w:val="004A2BC5"/>
    <w:rsid w:val="004A2E6D"/>
    <w:rsid w:val="004A2FAD"/>
    <w:rsid w:val="004A30E2"/>
    <w:rsid w:val="004A3132"/>
    <w:rsid w:val="004A3145"/>
    <w:rsid w:val="004A3254"/>
    <w:rsid w:val="004A32B9"/>
    <w:rsid w:val="004A3315"/>
    <w:rsid w:val="004A3353"/>
    <w:rsid w:val="004A33B5"/>
    <w:rsid w:val="004A3955"/>
    <w:rsid w:val="004A3A5E"/>
    <w:rsid w:val="004A3C51"/>
    <w:rsid w:val="004A3E8F"/>
    <w:rsid w:val="004A3F40"/>
    <w:rsid w:val="004A411E"/>
    <w:rsid w:val="004A4382"/>
    <w:rsid w:val="004A438D"/>
    <w:rsid w:val="004A4530"/>
    <w:rsid w:val="004A459E"/>
    <w:rsid w:val="004A4730"/>
    <w:rsid w:val="004A47D4"/>
    <w:rsid w:val="004A4810"/>
    <w:rsid w:val="004A4813"/>
    <w:rsid w:val="004A4874"/>
    <w:rsid w:val="004A491D"/>
    <w:rsid w:val="004A49BE"/>
    <w:rsid w:val="004A4B16"/>
    <w:rsid w:val="004A4B47"/>
    <w:rsid w:val="004A4B52"/>
    <w:rsid w:val="004A4BD6"/>
    <w:rsid w:val="004A4CB2"/>
    <w:rsid w:val="004A4E25"/>
    <w:rsid w:val="004A4EF8"/>
    <w:rsid w:val="004A5415"/>
    <w:rsid w:val="004A55F2"/>
    <w:rsid w:val="004A57DC"/>
    <w:rsid w:val="004A583B"/>
    <w:rsid w:val="004A590E"/>
    <w:rsid w:val="004A5D26"/>
    <w:rsid w:val="004A5D36"/>
    <w:rsid w:val="004A5D84"/>
    <w:rsid w:val="004A5E26"/>
    <w:rsid w:val="004A5EA1"/>
    <w:rsid w:val="004A5F5F"/>
    <w:rsid w:val="004A6520"/>
    <w:rsid w:val="004A6550"/>
    <w:rsid w:val="004A66B5"/>
    <w:rsid w:val="004A66DB"/>
    <w:rsid w:val="004A6708"/>
    <w:rsid w:val="004A68EB"/>
    <w:rsid w:val="004A6950"/>
    <w:rsid w:val="004A699E"/>
    <w:rsid w:val="004A6A5A"/>
    <w:rsid w:val="004A6EA7"/>
    <w:rsid w:val="004A6ED9"/>
    <w:rsid w:val="004A6EDA"/>
    <w:rsid w:val="004A6EED"/>
    <w:rsid w:val="004A7009"/>
    <w:rsid w:val="004A713E"/>
    <w:rsid w:val="004A71D5"/>
    <w:rsid w:val="004A72A0"/>
    <w:rsid w:val="004A7339"/>
    <w:rsid w:val="004A73D5"/>
    <w:rsid w:val="004A73DA"/>
    <w:rsid w:val="004A744A"/>
    <w:rsid w:val="004A751B"/>
    <w:rsid w:val="004A751E"/>
    <w:rsid w:val="004A7752"/>
    <w:rsid w:val="004A7A84"/>
    <w:rsid w:val="004A7D63"/>
    <w:rsid w:val="004A7DF3"/>
    <w:rsid w:val="004B035C"/>
    <w:rsid w:val="004B0393"/>
    <w:rsid w:val="004B047F"/>
    <w:rsid w:val="004B0553"/>
    <w:rsid w:val="004B06A8"/>
    <w:rsid w:val="004B07B6"/>
    <w:rsid w:val="004B094E"/>
    <w:rsid w:val="004B0AC2"/>
    <w:rsid w:val="004B0C33"/>
    <w:rsid w:val="004B0CEE"/>
    <w:rsid w:val="004B0DF0"/>
    <w:rsid w:val="004B0EAF"/>
    <w:rsid w:val="004B105B"/>
    <w:rsid w:val="004B10F8"/>
    <w:rsid w:val="004B10FD"/>
    <w:rsid w:val="004B1105"/>
    <w:rsid w:val="004B1299"/>
    <w:rsid w:val="004B1364"/>
    <w:rsid w:val="004B1472"/>
    <w:rsid w:val="004B14A3"/>
    <w:rsid w:val="004B1551"/>
    <w:rsid w:val="004B1555"/>
    <w:rsid w:val="004B178E"/>
    <w:rsid w:val="004B1AF4"/>
    <w:rsid w:val="004B1B74"/>
    <w:rsid w:val="004B1E75"/>
    <w:rsid w:val="004B1EEC"/>
    <w:rsid w:val="004B202F"/>
    <w:rsid w:val="004B2247"/>
    <w:rsid w:val="004B23B0"/>
    <w:rsid w:val="004B2517"/>
    <w:rsid w:val="004B2814"/>
    <w:rsid w:val="004B2820"/>
    <w:rsid w:val="004B28A0"/>
    <w:rsid w:val="004B2C76"/>
    <w:rsid w:val="004B2F9E"/>
    <w:rsid w:val="004B308E"/>
    <w:rsid w:val="004B3451"/>
    <w:rsid w:val="004B357F"/>
    <w:rsid w:val="004B369F"/>
    <w:rsid w:val="004B36DD"/>
    <w:rsid w:val="004B3986"/>
    <w:rsid w:val="004B39B2"/>
    <w:rsid w:val="004B3AFF"/>
    <w:rsid w:val="004B3B82"/>
    <w:rsid w:val="004B3C87"/>
    <w:rsid w:val="004B3E3C"/>
    <w:rsid w:val="004B3F00"/>
    <w:rsid w:val="004B3F3E"/>
    <w:rsid w:val="004B4032"/>
    <w:rsid w:val="004B455B"/>
    <w:rsid w:val="004B45E1"/>
    <w:rsid w:val="004B46B0"/>
    <w:rsid w:val="004B4764"/>
    <w:rsid w:val="004B4A5E"/>
    <w:rsid w:val="004B4CA7"/>
    <w:rsid w:val="004B4CB8"/>
    <w:rsid w:val="004B4D4D"/>
    <w:rsid w:val="004B4D7A"/>
    <w:rsid w:val="004B4D9E"/>
    <w:rsid w:val="004B4E4F"/>
    <w:rsid w:val="004B4FC3"/>
    <w:rsid w:val="004B5784"/>
    <w:rsid w:val="004B5876"/>
    <w:rsid w:val="004B5899"/>
    <w:rsid w:val="004B58A0"/>
    <w:rsid w:val="004B58B9"/>
    <w:rsid w:val="004B5A3F"/>
    <w:rsid w:val="004B5B7C"/>
    <w:rsid w:val="004B5D40"/>
    <w:rsid w:val="004B5E0F"/>
    <w:rsid w:val="004B6197"/>
    <w:rsid w:val="004B61E3"/>
    <w:rsid w:val="004B6267"/>
    <w:rsid w:val="004B62B4"/>
    <w:rsid w:val="004B64A9"/>
    <w:rsid w:val="004B67B9"/>
    <w:rsid w:val="004B680D"/>
    <w:rsid w:val="004B68C4"/>
    <w:rsid w:val="004B6AFF"/>
    <w:rsid w:val="004B6B4A"/>
    <w:rsid w:val="004B6B7C"/>
    <w:rsid w:val="004B6F18"/>
    <w:rsid w:val="004B6F81"/>
    <w:rsid w:val="004B6F8D"/>
    <w:rsid w:val="004B7087"/>
    <w:rsid w:val="004B7097"/>
    <w:rsid w:val="004B722C"/>
    <w:rsid w:val="004B7542"/>
    <w:rsid w:val="004B76F8"/>
    <w:rsid w:val="004B780D"/>
    <w:rsid w:val="004B78A6"/>
    <w:rsid w:val="004B7941"/>
    <w:rsid w:val="004B795A"/>
    <w:rsid w:val="004B7BC7"/>
    <w:rsid w:val="004B7C25"/>
    <w:rsid w:val="004B7C4A"/>
    <w:rsid w:val="004B7C56"/>
    <w:rsid w:val="004B7DDC"/>
    <w:rsid w:val="004B7FB6"/>
    <w:rsid w:val="004C0173"/>
    <w:rsid w:val="004C03DC"/>
    <w:rsid w:val="004C03F1"/>
    <w:rsid w:val="004C0465"/>
    <w:rsid w:val="004C0482"/>
    <w:rsid w:val="004C07AB"/>
    <w:rsid w:val="004C0A9D"/>
    <w:rsid w:val="004C0AA9"/>
    <w:rsid w:val="004C0EB8"/>
    <w:rsid w:val="004C1376"/>
    <w:rsid w:val="004C13F9"/>
    <w:rsid w:val="004C14D4"/>
    <w:rsid w:val="004C151E"/>
    <w:rsid w:val="004C1589"/>
    <w:rsid w:val="004C1E10"/>
    <w:rsid w:val="004C1E68"/>
    <w:rsid w:val="004C1EC6"/>
    <w:rsid w:val="004C1EEB"/>
    <w:rsid w:val="004C20B8"/>
    <w:rsid w:val="004C24DE"/>
    <w:rsid w:val="004C24F1"/>
    <w:rsid w:val="004C25A1"/>
    <w:rsid w:val="004C25F1"/>
    <w:rsid w:val="004C28D2"/>
    <w:rsid w:val="004C2A6E"/>
    <w:rsid w:val="004C2DBA"/>
    <w:rsid w:val="004C2F12"/>
    <w:rsid w:val="004C31D4"/>
    <w:rsid w:val="004C33F8"/>
    <w:rsid w:val="004C36AC"/>
    <w:rsid w:val="004C36AD"/>
    <w:rsid w:val="004C39C8"/>
    <w:rsid w:val="004C3A89"/>
    <w:rsid w:val="004C3B4F"/>
    <w:rsid w:val="004C3B68"/>
    <w:rsid w:val="004C3BA9"/>
    <w:rsid w:val="004C3C88"/>
    <w:rsid w:val="004C3F3D"/>
    <w:rsid w:val="004C408C"/>
    <w:rsid w:val="004C4395"/>
    <w:rsid w:val="004C446C"/>
    <w:rsid w:val="004C497C"/>
    <w:rsid w:val="004C4A28"/>
    <w:rsid w:val="004C4A38"/>
    <w:rsid w:val="004C4A61"/>
    <w:rsid w:val="004C4EAE"/>
    <w:rsid w:val="004C4F65"/>
    <w:rsid w:val="004C5151"/>
    <w:rsid w:val="004C51AF"/>
    <w:rsid w:val="004C51BE"/>
    <w:rsid w:val="004C57D8"/>
    <w:rsid w:val="004C57F8"/>
    <w:rsid w:val="004C59B5"/>
    <w:rsid w:val="004C5B32"/>
    <w:rsid w:val="004C5B4E"/>
    <w:rsid w:val="004C5C7A"/>
    <w:rsid w:val="004C5D23"/>
    <w:rsid w:val="004C5D4C"/>
    <w:rsid w:val="004C5ECD"/>
    <w:rsid w:val="004C61B4"/>
    <w:rsid w:val="004C61BC"/>
    <w:rsid w:val="004C61F6"/>
    <w:rsid w:val="004C6435"/>
    <w:rsid w:val="004C6515"/>
    <w:rsid w:val="004C6569"/>
    <w:rsid w:val="004C67CC"/>
    <w:rsid w:val="004C695B"/>
    <w:rsid w:val="004C6B1F"/>
    <w:rsid w:val="004C6CE9"/>
    <w:rsid w:val="004C6D54"/>
    <w:rsid w:val="004C722E"/>
    <w:rsid w:val="004C72AE"/>
    <w:rsid w:val="004C72C2"/>
    <w:rsid w:val="004C7400"/>
    <w:rsid w:val="004C75A1"/>
    <w:rsid w:val="004C75FC"/>
    <w:rsid w:val="004C76E7"/>
    <w:rsid w:val="004C7805"/>
    <w:rsid w:val="004C78D4"/>
    <w:rsid w:val="004C78F0"/>
    <w:rsid w:val="004C7AED"/>
    <w:rsid w:val="004C7BCD"/>
    <w:rsid w:val="004C7C2F"/>
    <w:rsid w:val="004C7C30"/>
    <w:rsid w:val="004C7CE8"/>
    <w:rsid w:val="004C7D86"/>
    <w:rsid w:val="004C7EB7"/>
    <w:rsid w:val="004C7FF7"/>
    <w:rsid w:val="004D008D"/>
    <w:rsid w:val="004D036A"/>
    <w:rsid w:val="004D0507"/>
    <w:rsid w:val="004D060D"/>
    <w:rsid w:val="004D0757"/>
    <w:rsid w:val="004D08C9"/>
    <w:rsid w:val="004D0A3C"/>
    <w:rsid w:val="004D0BDF"/>
    <w:rsid w:val="004D0C70"/>
    <w:rsid w:val="004D0F4C"/>
    <w:rsid w:val="004D0FF1"/>
    <w:rsid w:val="004D1386"/>
    <w:rsid w:val="004D1466"/>
    <w:rsid w:val="004D14A7"/>
    <w:rsid w:val="004D14A8"/>
    <w:rsid w:val="004D14AA"/>
    <w:rsid w:val="004D14C5"/>
    <w:rsid w:val="004D14CA"/>
    <w:rsid w:val="004D14F2"/>
    <w:rsid w:val="004D1609"/>
    <w:rsid w:val="004D1895"/>
    <w:rsid w:val="004D1994"/>
    <w:rsid w:val="004D1E22"/>
    <w:rsid w:val="004D1F05"/>
    <w:rsid w:val="004D1F2E"/>
    <w:rsid w:val="004D1FE1"/>
    <w:rsid w:val="004D2149"/>
    <w:rsid w:val="004D23AA"/>
    <w:rsid w:val="004D23D1"/>
    <w:rsid w:val="004D25E2"/>
    <w:rsid w:val="004D27CB"/>
    <w:rsid w:val="004D2911"/>
    <w:rsid w:val="004D2934"/>
    <w:rsid w:val="004D299F"/>
    <w:rsid w:val="004D29BF"/>
    <w:rsid w:val="004D2B66"/>
    <w:rsid w:val="004D2C06"/>
    <w:rsid w:val="004D2C5D"/>
    <w:rsid w:val="004D2C94"/>
    <w:rsid w:val="004D2CF5"/>
    <w:rsid w:val="004D2DDA"/>
    <w:rsid w:val="004D2E8C"/>
    <w:rsid w:val="004D31BD"/>
    <w:rsid w:val="004D31D9"/>
    <w:rsid w:val="004D3429"/>
    <w:rsid w:val="004D34D2"/>
    <w:rsid w:val="004D3568"/>
    <w:rsid w:val="004D396C"/>
    <w:rsid w:val="004D3C05"/>
    <w:rsid w:val="004D3D0E"/>
    <w:rsid w:val="004D3FE2"/>
    <w:rsid w:val="004D4065"/>
    <w:rsid w:val="004D40AF"/>
    <w:rsid w:val="004D424B"/>
    <w:rsid w:val="004D45DA"/>
    <w:rsid w:val="004D4910"/>
    <w:rsid w:val="004D4C8E"/>
    <w:rsid w:val="004D4D0B"/>
    <w:rsid w:val="004D4F6F"/>
    <w:rsid w:val="004D50CD"/>
    <w:rsid w:val="004D521D"/>
    <w:rsid w:val="004D52C4"/>
    <w:rsid w:val="004D5403"/>
    <w:rsid w:val="004D5480"/>
    <w:rsid w:val="004D558A"/>
    <w:rsid w:val="004D55A9"/>
    <w:rsid w:val="004D566B"/>
    <w:rsid w:val="004D56EA"/>
    <w:rsid w:val="004D5804"/>
    <w:rsid w:val="004D5806"/>
    <w:rsid w:val="004D5A38"/>
    <w:rsid w:val="004D5D84"/>
    <w:rsid w:val="004D5E07"/>
    <w:rsid w:val="004D6246"/>
    <w:rsid w:val="004D6260"/>
    <w:rsid w:val="004D62D0"/>
    <w:rsid w:val="004D643C"/>
    <w:rsid w:val="004D6606"/>
    <w:rsid w:val="004D66E3"/>
    <w:rsid w:val="004D671E"/>
    <w:rsid w:val="004D6959"/>
    <w:rsid w:val="004D6A7D"/>
    <w:rsid w:val="004D6EF0"/>
    <w:rsid w:val="004D6F67"/>
    <w:rsid w:val="004D733A"/>
    <w:rsid w:val="004D7461"/>
    <w:rsid w:val="004D7547"/>
    <w:rsid w:val="004D756D"/>
    <w:rsid w:val="004D77AA"/>
    <w:rsid w:val="004D77CD"/>
    <w:rsid w:val="004D7B1A"/>
    <w:rsid w:val="004D7BFF"/>
    <w:rsid w:val="004D7CF6"/>
    <w:rsid w:val="004D7D7D"/>
    <w:rsid w:val="004D7F73"/>
    <w:rsid w:val="004D7FF3"/>
    <w:rsid w:val="004E01BE"/>
    <w:rsid w:val="004E03E7"/>
    <w:rsid w:val="004E061F"/>
    <w:rsid w:val="004E0633"/>
    <w:rsid w:val="004E06A5"/>
    <w:rsid w:val="004E07C4"/>
    <w:rsid w:val="004E0A4C"/>
    <w:rsid w:val="004E0A98"/>
    <w:rsid w:val="004E0B1E"/>
    <w:rsid w:val="004E0B2B"/>
    <w:rsid w:val="004E0C6F"/>
    <w:rsid w:val="004E0E9F"/>
    <w:rsid w:val="004E104B"/>
    <w:rsid w:val="004E11EF"/>
    <w:rsid w:val="004E1343"/>
    <w:rsid w:val="004E16A7"/>
    <w:rsid w:val="004E182C"/>
    <w:rsid w:val="004E1C84"/>
    <w:rsid w:val="004E1D2C"/>
    <w:rsid w:val="004E1E40"/>
    <w:rsid w:val="004E1E60"/>
    <w:rsid w:val="004E1EB8"/>
    <w:rsid w:val="004E2041"/>
    <w:rsid w:val="004E22D2"/>
    <w:rsid w:val="004E23A5"/>
    <w:rsid w:val="004E2483"/>
    <w:rsid w:val="004E2791"/>
    <w:rsid w:val="004E28E5"/>
    <w:rsid w:val="004E2936"/>
    <w:rsid w:val="004E2A4E"/>
    <w:rsid w:val="004E2E98"/>
    <w:rsid w:val="004E2F8A"/>
    <w:rsid w:val="004E2F9C"/>
    <w:rsid w:val="004E30BB"/>
    <w:rsid w:val="004E33FD"/>
    <w:rsid w:val="004E36CD"/>
    <w:rsid w:val="004E3BE2"/>
    <w:rsid w:val="004E3C60"/>
    <w:rsid w:val="004E3DC9"/>
    <w:rsid w:val="004E3F09"/>
    <w:rsid w:val="004E4031"/>
    <w:rsid w:val="004E4077"/>
    <w:rsid w:val="004E40F1"/>
    <w:rsid w:val="004E4309"/>
    <w:rsid w:val="004E4477"/>
    <w:rsid w:val="004E45EF"/>
    <w:rsid w:val="004E464A"/>
    <w:rsid w:val="004E488F"/>
    <w:rsid w:val="004E49C8"/>
    <w:rsid w:val="004E4B52"/>
    <w:rsid w:val="004E4D16"/>
    <w:rsid w:val="004E4DAD"/>
    <w:rsid w:val="004E4E6D"/>
    <w:rsid w:val="004E524C"/>
    <w:rsid w:val="004E53AD"/>
    <w:rsid w:val="004E55DC"/>
    <w:rsid w:val="004E5856"/>
    <w:rsid w:val="004E5AB7"/>
    <w:rsid w:val="004E5B2C"/>
    <w:rsid w:val="004E5B65"/>
    <w:rsid w:val="004E5CD6"/>
    <w:rsid w:val="004E5D9E"/>
    <w:rsid w:val="004E5E75"/>
    <w:rsid w:val="004E605E"/>
    <w:rsid w:val="004E6094"/>
    <w:rsid w:val="004E6375"/>
    <w:rsid w:val="004E637F"/>
    <w:rsid w:val="004E6409"/>
    <w:rsid w:val="004E6666"/>
    <w:rsid w:val="004E66EE"/>
    <w:rsid w:val="004E6799"/>
    <w:rsid w:val="004E6B3F"/>
    <w:rsid w:val="004E6D4C"/>
    <w:rsid w:val="004E6DDA"/>
    <w:rsid w:val="004E6F1F"/>
    <w:rsid w:val="004E70E8"/>
    <w:rsid w:val="004E70F7"/>
    <w:rsid w:val="004E7168"/>
    <w:rsid w:val="004E71C2"/>
    <w:rsid w:val="004E7448"/>
    <w:rsid w:val="004E75AC"/>
    <w:rsid w:val="004E75B3"/>
    <w:rsid w:val="004E75DA"/>
    <w:rsid w:val="004E7626"/>
    <w:rsid w:val="004E766C"/>
    <w:rsid w:val="004E76C6"/>
    <w:rsid w:val="004E77E9"/>
    <w:rsid w:val="004E7872"/>
    <w:rsid w:val="004E7923"/>
    <w:rsid w:val="004E7A7D"/>
    <w:rsid w:val="004E7AF6"/>
    <w:rsid w:val="004E7B63"/>
    <w:rsid w:val="004E7B6A"/>
    <w:rsid w:val="004E7BC3"/>
    <w:rsid w:val="004E7CA0"/>
    <w:rsid w:val="004E7D3A"/>
    <w:rsid w:val="004E7D75"/>
    <w:rsid w:val="004E7E07"/>
    <w:rsid w:val="004F0083"/>
    <w:rsid w:val="004F00AF"/>
    <w:rsid w:val="004F01D1"/>
    <w:rsid w:val="004F03F0"/>
    <w:rsid w:val="004F049A"/>
    <w:rsid w:val="004F0543"/>
    <w:rsid w:val="004F075A"/>
    <w:rsid w:val="004F07B9"/>
    <w:rsid w:val="004F096E"/>
    <w:rsid w:val="004F1119"/>
    <w:rsid w:val="004F11D3"/>
    <w:rsid w:val="004F1294"/>
    <w:rsid w:val="004F13F9"/>
    <w:rsid w:val="004F1412"/>
    <w:rsid w:val="004F157C"/>
    <w:rsid w:val="004F15C8"/>
    <w:rsid w:val="004F16D8"/>
    <w:rsid w:val="004F183C"/>
    <w:rsid w:val="004F1958"/>
    <w:rsid w:val="004F1B97"/>
    <w:rsid w:val="004F1D30"/>
    <w:rsid w:val="004F1EE7"/>
    <w:rsid w:val="004F1F21"/>
    <w:rsid w:val="004F2151"/>
    <w:rsid w:val="004F2184"/>
    <w:rsid w:val="004F2224"/>
    <w:rsid w:val="004F2349"/>
    <w:rsid w:val="004F2356"/>
    <w:rsid w:val="004F2552"/>
    <w:rsid w:val="004F2779"/>
    <w:rsid w:val="004F277F"/>
    <w:rsid w:val="004F2793"/>
    <w:rsid w:val="004F284F"/>
    <w:rsid w:val="004F287A"/>
    <w:rsid w:val="004F2D09"/>
    <w:rsid w:val="004F2ED2"/>
    <w:rsid w:val="004F2EF5"/>
    <w:rsid w:val="004F2F2D"/>
    <w:rsid w:val="004F3326"/>
    <w:rsid w:val="004F33E7"/>
    <w:rsid w:val="004F33F2"/>
    <w:rsid w:val="004F36F4"/>
    <w:rsid w:val="004F37AB"/>
    <w:rsid w:val="004F3871"/>
    <w:rsid w:val="004F389F"/>
    <w:rsid w:val="004F38B4"/>
    <w:rsid w:val="004F393F"/>
    <w:rsid w:val="004F3A96"/>
    <w:rsid w:val="004F3ECE"/>
    <w:rsid w:val="004F4055"/>
    <w:rsid w:val="004F40E1"/>
    <w:rsid w:val="004F4101"/>
    <w:rsid w:val="004F4265"/>
    <w:rsid w:val="004F44BF"/>
    <w:rsid w:val="004F44D9"/>
    <w:rsid w:val="004F45AC"/>
    <w:rsid w:val="004F45BE"/>
    <w:rsid w:val="004F45C9"/>
    <w:rsid w:val="004F4869"/>
    <w:rsid w:val="004F4A73"/>
    <w:rsid w:val="004F4D5C"/>
    <w:rsid w:val="004F4DF8"/>
    <w:rsid w:val="004F5149"/>
    <w:rsid w:val="004F517D"/>
    <w:rsid w:val="004F527B"/>
    <w:rsid w:val="004F54A0"/>
    <w:rsid w:val="004F54A8"/>
    <w:rsid w:val="004F54E0"/>
    <w:rsid w:val="004F5592"/>
    <w:rsid w:val="004F5626"/>
    <w:rsid w:val="004F588E"/>
    <w:rsid w:val="004F59B9"/>
    <w:rsid w:val="004F59EB"/>
    <w:rsid w:val="004F5A0F"/>
    <w:rsid w:val="004F5B0A"/>
    <w:rsid w:val="004F5B77"/>
    <w:rsid w:val="004F5CFA"/>
    <w:rsid w:val="004F5D9A"/>
    <w:rsid w:val="004F605F"/>
    <w:rsid w:val="004F60A0"/>
    <w:rsid w:val="004F60A2"/>
    <w:rsid w:val="004F61C2"/>
    <w:rsid w:val="004F62B8"/>
    <w:rsid w:val="004F642C"/>
    <w:rsid w:val="004F65A2"/>
    <w:rsid w:val="004F681D"/>
    <w:rsid w:val="004F6A01"/>
    <w:rsid w:val="004F6EB4"/>
    <w:rsid w:val="004F70EA"/>
    <w:rsid w:val="004F730B"/>
    <w:rsid w:val="004F7353"/>
    <w:rsid w:val="004F750A"/>
    <w:rsid w:val="004F7541"/>
    <w:rsid w:val="004F7571"/>
    <w:rsid w:val="004F75B8"/>
    <w:rsid w:val="004F7615"/>
    <w:rsid w:val="004F78DB"/>
    <w:rsid w:val="004F7B03"/>
    <w:rsid w:val="004F7D27"/>
    <w:rsid w:val="004F7E5A"/>
    <w:rsid w:val="004F7E70"/>
    <w:rsid w:val="0050012E"/>
    <w:rsid w:val="0050016B"/>
    <w:rsid w:val="005001D4"/>
    <w:rsid w:val="00500A3A"/>
    <w:rsid w:val="00500CDF"/>
    <w:rsid w:val="00500CE0"/>
    <w:rsid w:val="00500E18"/>
    <w:rsid w:val="00501304"/>
    <w:rsid w:val="005013C5"/>
    <w:rsid w:val="00501603"/>
    <w:rsid w:val="0050189C"/>
    <w:rsid w:val="0050192F"/>
    <w:rsid w:val="00501983"/>
    <w:rsid w:val="005019C1"/>
    <w:rsid w:val="005019FD"/>
    <w:rsid w:val="00501B1C"/>
    <w:rsid w:val="00501CEB"/>
    <w:rsid w:val="00501E39"/>
    <w:rsid w:val="00501FC0"/>
    <w:rsid w:val="005021E8"/>
    <w:rsid w:val="005022AD"/>
    <w:rsid w:val="00502485"/>
    <w:rsid w:val="005025EE"/>
    <w:rsid w:val="005026BB"/>
    <w:rsid w:val="005026DF"/>
    <w:rsid w:val="0050276D"/>
    <w:rsid w:val="0050283F"/>
    <w:rsid w:val="00502911"/>
    <w:rsid w:val="0050297C"/>
    <w:rsid w:val="005029DD"/>
    <w:rsid w:val="00502B26"/>
    <w:rsid w:val="00502CC9"/>
    <w:rsid w:val="00502E64"/>
    <w:rsid w:val="005030F1"/>
    <w:rsid w:val="00503348"/>
    <w:rsid w:val="005033E3"/>
    <w:rsid w:val="00503472"/>
    <w:rsid w:val="005034D3"/>
    <w:rsid w:val="005035C4"/>
    <w:rsid w:val="005035DD"/>
    <w:rsid w:val="005036DB"/>
    <w:rsid w:val="005037B4"/>
    <w:rsid w:val="005038B4"/>
    <w:rsid w:val="00503A9E"/>
    <w:rsid w:val="00503C60"/>
    <w:rsid w:val="00503D01"/>
    <w:rsid w:val="00504424"/>
    <w:rsid w:val="0050442C"/>
    <w:rsid w:val="00504553"/>
    <w:rsid w:val="00504ADE"/>
    <w:rsid w:val="00504B39"/>
    <w:rsid w:val="00504B79"/>
    <w:rsid w:val="00504C07"/>
    <w:rsid w:val="00504D3C"/>
    <w:rsid w:val="00504EF5"/>
    <w:rsid w:val="0050501C"/>
    <w:rsid w:val="00505202"/>
    <w:rsid w:val="0050541D"/>
    <w:rsid w:val="00505645"/>
    <w:rsid w:val="0050569F"/>
    <w:rsid w:val="005056E7"/>
    <w:rsid w:val="00505B96"/>
    <w:rsid w:val="00505ECC"/>
    <w:rsid w:val="00505F28"/>
    <w:rsid w:val="00506106"/>
    <w:rsid w:val="00506165"/>
    <w:rsid w:val="0050618F"/>
    <w:rsid w:val="00506199"/>
    <w:rsid w:val="005062AC"/>
    <w:rsid w:val="00506326"/>
    <w:rsid w:val="00506AB8"/>
    <w:rsid w:val="00506C53"/>
    <w:rsid w:val="00506C63"/>
    <w:rsid w:val="00506FB7"/>
    <w:rsid w:val="00507030"/>
    <w:rsid w:val="005070ED"/>
    <w:rsid w:val="005071AF"/>
    <w:rsid w:val="0050734D"/>
    <w:rsid w:val="00507522"/>
    <w:rsid w:val="00507667"/>
    <w:rsid w:val="005078EB"/>
    <w:rsid w:val="00507B28"/>
    <w:rsid w:val="00507BF9"/>
    <w:rsid w:val="00507C45"/>
    <w:rsid w:val="00507E39"/>
    <w:rsid w:val="00507EFE"/>
    <w:rsid w:val="00507F6B"/>
    <w:rsid w:val="0051015F"/>
    <w:rsid w:val="00510258"/>
    <w:rsid w:val="005103B8"/>
    <w:rsid w:val="005103E9"/>
    <w:rsid w:val="0051043F"/>
    <w:rsid w:val="00510516"/>
    <w:rsid w:val="0051076D"/>
    <w:rsid w:val="00510869"/>
    <w:rsid w:val="00510C2E"/>
    <w:rsid w:val="00510CC3"/>
    <w:rsid w:val="00510E31"/>
    <w:rsid w:val="00511399"/>
    <w:rsid w:val="005113B3"/>
    <w:rsid w:val="00511592"/>
    <w:rsid w:val="0051162E"/>
    <w:rsid w:val="005116C5"/>
    <w:rsid w:val="00511826"/>
    <w:rsid w:val="005118CE"/>
    <w:rsid w:val="00511D3C"/>
    <w:rsid w:val="00511E3A"/>
    <w:rsid w:val="00511E90"/>
    <w:rsid w:val="005120AC"/>
    <w:rsid w:val="005120FC"/>
    <w:rsid w:val="005122D2"/>
    <w:rsid w:val="005123B4"/>
    <w:rsid w:val="0051257B"/>
    <w:rsid w:val="005126F3"/>
    <w:rsid w:val="00512810"/>
    <w:rsid w:val="0051281D"/>
    <w:rsid w:val="0051283B"/>
    <w:rsid w:val="0051284A"/>
    <w:rsid w:val="0051291A"/>
    <w:rsid w:val="00512970"/>
    <w:rsid w:val="00512B1B"/>
    <w:rsid w:val="00512C18"/>
    <w:rsid w:val="00512D5C"/>
    <w:rsid w:val="00512E4B"/>
    <w:rsid w:val="00513146"/>
    <w:rsid w:val="0051328D"/>
    <w:rsid w:val="00513566"/>
    <w:rsid w:val="00513689"/>
    <w:rsid w:val="005136EC"/>
    <w:rsid w:val="00513877"/>
    <w:rsid w:val="0051395B"/>
    <w:rsid w:val="00513B15"/>
    <w:rsid w:val="00513EDE"/>
    <w:rsid w:val="00513F58"/>
    <w:rsid w:val="0051417E"/>
    <w:rsid w:val="0051419E"/>
    <w:rsid w:val="00514245"/>
    <w:rsid w:val="0051425B"/>
    <w:rsid w:val="00514407"/>
    <w:rsid w:val="005144E5"/>
    <w:rsid w:val="00514575"/>
    <w:rsid w:val="00514605"/>
    <w:rsid w:val="005146C5"/>
    <w:rsid w:val="005147A6"/>
    <w:rsid w:val="0051494A"/>
    <w:rsid w:val="00514B67"/>
    <w:rsid w:val="00514EB9"/>
    <w:rsid w:val="00514EDF"/>
    <w:rsid w:val="005150DB"/>
    <w:rsid w:val="0051519D"/>
    <w:rsid w:val="0051531D"/>
    <w:rsid w:val="005153E1"/>
    <w:rsid w:val="005154E4"/>
    <w:rsid w:val="0051567D"/>
    <w:rsid w:val="005157EF"/>
    <w:rsid w:val="00515A86"/>
    <w:rsid w:val="00515EBF"/>
    <w:rsid w:val="00515F4F"/>
    <w:rsid w:val="00515F86"/>
    <w:rsid w:val="00515F92"/>
    <w:rsid w:val="005163E1"/>
    <w:rsid w:val="00516778"/>
    <w:rsid w:val="005168A3"/>
    <w:rsid w:val="0051694E"/>
    <w:rsid w:val="00516970"/>
    <w:rsid w:val="00516A8E"/>
    <w:rsid w:val="00516A90"/>
    <w:rsid w:val="00516AC3"/>
    <w:rsid w:val="00516B63"/>
    <w:rsid w:val="00516BAB"/>
    <w:rsid w:val="00516C1C"/>
    <w:rsid w:val="00516DF0"/>
    <w:rsid w:val="00516F31"/>
    <w:rsid w:val="0051710F"/>
    <w:rsid w:val="00517144"/>
    <w:rsid w:val="005171A8"/>
    <w:rsid w:val="00517290"/>
    <w:rsid w:val="0051795F"/>
    <w:rsid w:val="005179D7"/>
    <w:rsid w:val="00517A3E"/>
    <w:rsid w:val="00517A74"/>
    <w:rsid w:val="00517BE0"/>
    <w:rsid w:val="00517C21"/>
    <w:rsid w:val="00517D39"/>
    <w:rsid w:val="00517D3C"/>
    <w:rsid w:val="00517D5E"/>
    <w:rsid w:val="00517D77"/>
    <w:rsid w:val="00517D91"/>
    <w:rsid w:val="00517D95"/>
    <w:rsid w:val="00517E19"/>
    <w:rsid w:val="00517E76"/>
    <w:rsid w:val="005200FF"/>
    <w:rsid w:val="00520265"/>
    <w:rsid w:val="0052034E"/>
    <w:rsid w:val="00520378"/>
    <w:rsid w:val="005203D0"/>
    <w:rsid w:val="005205FB"/>
    <w:rsid w:val="00520714"/>
    <w:rsid w:val="005207F3"/>
    <w:rsid w:val="00520815"/>
    <w:rsid w:val="005208D4"/>
    <w:rsid w:val="00520A68"/>
    <w:rsid w:val="00520A90"/>
    <w:rsid w:val="00520B1A"/>
    <w:rsid w:val="00520B35"/>
    <w:rsid w:val="00520BDB"/>
    <w:rsid w:val="00520DAD"/>
    <w:rsid w:val="00520F76"/>
    <w:rsid w:val="00520F93"/>
    <w:rsid w:val="0052107C"/>
    <w:rsid w:val="00521156"/>
    <w:rsid w:val="0052130A"/>
    <w:rsid w:val="005215F8"/>
    <w:rsid w:val="005218A4"/>
    <w:rsid w:val="00521B85"/>
    <w:rsid w:val="00521C61"/>
    <w:rsid w:val="00521C6F"/>
    <w:rsid w:val="00521D68"/>
    <w:rsid w:val="00521DA9"/>
    <w:rsid w:val="00521DFB"/>
    <w:rsid w:val="00521E24"/>
    <w:rsid w:val="00521EE7"/>
    <w:rsid w:val="00521EF9"/>
    <w:rsid w:val="00522395"/>
    <w:rsid w:val="005223D9"/>
    <w:rsid w:val="00522539"/>
    <w:rsid w:val="0052254E"/>
    <w:rsid w:val="00522801"/>
    <w:rsid w:val="0052288F"/>
    <w:rsid w:val="005228A3"/>
    <w:rsid w:val="0052294B"/>
    <w:rsid w:val="00522988"/>
    <w:rsid w:val="00522A07"/>
    <w:rsid w:val="00522A65"/>
    <w:rsid w:val="00522D27"/>
    <w:rsid w:val="00522D44"/>
    <w:rsid w:val="00522E39"/>
    <w:rsid w:val="00522E65"/>
    <w:rsid w:val="00522E90"/>
    <w:rsid w:val="00522FD3"/>
    <w:rsid w:val="0052303D"/>
    <w:rsid w:val="00523060"/>
    <w:rsid w:val="005234A8"/>
    <w:rsid w:val="00523799"/>
    <w:rsid w:val="00523882"/>
    <w:rsid w:val="005238A1"/>
    <w:rsid w:val="0052391B"/>
    <w:rsid w:val="00523AB4"/>
    <w:rsid w:val="00523CE1"/>
    <w:rsid w:val="00523D06"/>
    <w:rsid w:val="00523D0C"/>
    <w:rsid w:val="00523FD2"/>
    <w:rsid w:val="0052437B"/>
    <w:rsid w:val="0052441C"/>
    <w:rsid w:val="0052442D"/>
    <w:rsid w:val="00524592"/>
    <w:rsid w:val="0052477A"/>
    <w:rsid w:val="0052488E"/>
    <w:rsid w:val="005248C7"/>
    <w:rsid w:val="00524D56"/>
    <w:rsid w:val="00524E94"/>
    <w:rsid w:val="00524F3F"/>
    <w:rsid w:val="00524FE6"/>
    <w:rsid w:val="005250B5"/>
    <w:rsid w:val="005251AB"/>
    <w:rsid w:val="005252DF"/>
    <w:rsid w:val="00525506"/>
    <w:rsid w:val="005257B2"/>
    <w:rsid w:val="005258DD"/>
    <w:rsid w:val="0052598A"/>
    <w:rsid w:val="00525AF6"/>
    <w:rsid w:val="00525E14"/>
    <w:rsid w:val="00526034"/>
    <w:rsid w:val="005260E0"/>
    <w:rsid w:val="005261B7"/>
    <w:rsid w:val="00526853"/>
    <w:rsid w:val="005269E7"/>
    <w:rsid w:val="00526AB4"/>
    <w:rsid w:val="00526D2C"/>
    <w:rsid w:val="00526F9B"/>
    <w:rsid w:val="00526FFB"/>
    <w:rsid w:val="00527041"/>
    <w:rsid w:val="00527146"/>
    <w:rsid w:val="00527327"/>
    <w:rsid w:val="0052739E"/>
    <w:rsid w:val="005275FF"/>
    <w:rsid w:val="0052766D"/>
    <w:rsid w:val="00527719"/>
    <w:rsid w:val="00527793"/>
    <w:rsid w:val="005279B0"/>
    <w:rsid w:val="00527A21"/>
    <w:rsid w:val="00527A8F"/>
    <w:rsid w:val="00527E7D"/>
    <w:rsid w:val="00527FB2"/>
    <w:rsid w:val="0053024A"/>
    <w:rsid w:val="005302E2"/>
    <w:rsid w:val="005304D7"/>
    <w:rsid w:val="00530BD0"/>
    <w:rsid w:val="00530C44"/>
    <w:rsid w:val="00530CDD"/>
    <w:rsid w:val="00530D69"/>
    <w:rsid w:val="00530DE1"/>
    <w:rsid w:val="00530F5E"/>
    <w:rsid w:val="00530F60"/>
    <w:rsid w:val="0053127F"/>
    <w:rsid w:val="00531322"/>
    <w:rsid w:val="00531560"/>
    <w:rsid w:val="005315BE"/>
    <w:rsid w:val="005316A7"/>
    <w:rsid w:val="005319AD"/>
    <w:rsid w:val="005319D2"/>
    <w:rsid w:val="00531B78"/>
    <w:rsid w:val="00531B9A"/>
    <w:rsid w:val="00531BAB"/>
    <w:rsid w:val="00531E41"/>
    <w:rsid w:val="00532031"/>
    <w:rsid w:val="005321DB"/>
    <w:rsid w:val="00532240"/>
    <w:rsid w:val="00532384"/>
    <w:rsid w:val="005327F8"/>
    <w:rsid w:val="00532879"/>
    <w:rsid w:val="005328D8"/>
    <w:rsid w:val="005328D9"/>
    <w:rsid w:val="00532A5B"/>
    <w:rsid w:val="00532A7D"/>
    <w:rsid w:val="00532DA7"/>
    <w:rsid w:val="00532E89"/>
    <w:rsid w:val="00533222"/>
    <w:rsid w:val="0053358A"/>
    <w:rsid w:val="005335C9"/>
    <w:rsid w:val="00533713"/>
    <w:rsid w:val="005338F0"/>
    <w:rsid w:val="00533900"/>
    <w:rsid w:val="00533BEC"/>
    <w:rsid w:val="00533E3B"/>
    <w:rsid w:val="00533EFB"/>
    <w:rsid w:val="00533F3E"/>
    <w:rsid w:val="00533FE8"/>
    <w:rsid w:val="0053426B"/>
    <w:rsid w:val="005343AC"/>
    <w:rsid w:val="00534630"/>
    <w:rsid w:val="005348F3"/>
    <w:rsid w:val="00534BEA"/>
    <w:rsid w:val="00534C44"/>
    <w:rsid w:val="00534C4A"/>
    <w:rsid w:val="00534C7A"/>
    <w:rsid w:val="00534DBD"/>
    <w:rsid w:val="00534E6C"/>
    <w:rsid w:val="00534EEB"/>
    <w:rsid w:val="00534F24"/>
    <w:rsid w:val="00534FBC"/>
    <w:rsid w:val="0053513D"/>
    <w:rsid w:val="0053513E"/>
    <w:rsid w:val="0053532A"/>
    <w:rsid w:val="00535578"/>
    <w:rsid w:val="00535589"/>
    <w:rsid w:val="005355C5"/>
    <w:rsid w:val="005355E8"/>
    <w:rsid w:val="00535608"/>
    <w:rsid w:val="005356B9"/>
    <w:rsid w:val="005357B5"/>
    <w:rsid w:val="00535936"/>
    <w:rsid w:val="00535961"/>
    <w:rsid w:val="005359B2"/>
    <w:rsid w:val="005359E7"/>
    <w:rsid w:val="00535A81"/>
    <w:rsid w:val="00535BC0"/>
    <w:rsid w:val="00535BF8"/>
    <w:rsid w:val="00535D4D"/>
    <w:rsid w:val="00535E7A"/>
    <w:rsid w:val="00535E95"/>
    <w:rsid w:val="00535F87"/>
    <w:rsid w:val="00535FD2"/>
    <w:rsid w:val="0053648C"/>
    <w:rsid w:val="00536616"/>
    <w:rsid w:val="00536A59"/>
    <w:rsid w:val="00536B13"/>
    <w:rsid w:val="00536B9E"/>
    <w:rsid w:val="00536C90"/>
    <w:rsid w:val="00536CFE"/>
    <w:rsid w:val="00536D13"/>
    <w:rsid w:val="00536D17"/>
    <w:rsid w:val="00536D6C"/>
    <w:rsid w:val="00537067"/>
    <w:rsid w:val="005370F3"/>
    <w:rsid w:val="0053715F"/>
    <w:rsid w:val="005371E4"/>
    <w:rsid w:val="0053723D"/>
    <w:rsid w:val="005372A1"/>
    <w:rsid w:val="0053737C"/>
    <w:rsid w:val="00537547"/>
    <w:rsid w:val="005378AF"/>
    <w:rsid w:val="005378BC"/>
    <w:rsid w:val="0053790A"/>
    <w:rsid w:val="00537A82"/>
    <w:rsid w:val="00537D9D"/>
    <w:rsid w:val="00537F0E"/>
    <w:rsid w:val="00537F89"/>
    <w:rsid w:val="00540466"/>
    <w:rsid w:val="00540522"/>
    <w:rsid w:val="00540743"/>
    <w:rsid w:val="00540760"/>
    <w:rsid w:val="005409EC"/>
    <w:rsid w:val="00540A38"/>
    <w:rsid w:val="0054116E"/>
    <w:rsid w:val="0054119D"/>
    <w:rsid w:val="00541316"/>
    <w:rsid w:val="005413AE"/>
    <w:rsid w:val="005413EE"/>
    <w:rsid w:val="00541559"/>
    <w:rsid w:val="00541A1B"/>
    <w:rsid w:val="00541AB3"/>
    <w:rsid w:val="00541B5F"/>
    <w:rsid w:val="00541F8D"/>
    <w:rsid w:val="005422D7"/>
    <w:rsid w:val="00542477"/>
    <w:rsid w:val="00542553"/>
    <w:rsid w:val="0054255F"/>
    <w:rsid w:val="00542620"/>
    <w:rsid w:val="00542769"/>
    <w:rsid w:val="0054280F"/>
    <w:rsid w:val="0054287B"/>
    <w:rsid w:val="0054293A"/>
    <w:rsid w:val="00542B2B"/>
    <w:rsid w:val="00542C60"/>
    <w:rsid w:val="00542CAD"/>
    <w:rsid w:val="00542E2D"/>
    <w:rsid w:val="00543011"/>
    <w:rsid w:val="0054308A"/>
    <w:rsid w:val="005431FD"/>
    <w:rsid w:val="005434C4"/>
    <w:rsid w:val="005435B6"/>
    <w:rsid w:val="005435CD"/>
    <w:rsid w:val="00543626"/>
    <w:rsid w:val="005438DC"/>
    <w:rsid w:val="00543AC4"/>
    <w:rsid w:val="00543BEB"/>
    <w:rsid w:val="00543DCA"/>
    <w:rsid w:val="0054407D"/>
    <w:rsid w:val="00544402"/>
    <w:rsid w:val="005444E5"/>
    <w:rsid w:val="00544627"/>
    <w:rsid w:val="00544687"/>
    <w:rsid w:val="00544696"/>
    <w:rsid w:val="00544974"/>
    <w:rsid w:val="005449BE"/>
    <w:rsid w:val="00544A86"/>
    <w:rsid w:val="00544D54"/>
    <w:rsid w:val="00544D87"/>
    <w:rsid w:val="00544E9F"/>
    <w:rsid w:val="00545089"/>
    <w:rsid w:val="00545094"/>
    <w:rsid w:val="0054512D"/>
    <w:rsid w:val="00545175"/>
    <w:rsid w:val="0054524E"/>
    <w:rsid w:val="0054550D"/>
    <w:rsid w:val="00545613"/>
    <w:rsid w:val="00545662"/>
    <w:rsid w:val="00545877"/>
    <w:rsid w:val="005458E1"/>
    <w:rsid w:val="00545AA1"/>
    <w:rsid w:val="00545E9A"/>
    <w:rsid w:val="00545F2C"/>
    <w:rsid w:val="00545F55"/>
    <w:rsid w:val="00546089"/>
    <w:rsid w:val="00546205"/>
    <w:rsid w:val="005463F5"/>
    <w:rsid w:val="0054648E"/>
    <w:rsid w:val="00546491"/>
    <w:rsid w:val="005464D2"/>
    <w:rsid w:val="00546711"/>
    <w:rsid w:val="0054679D"/>
    <w:rsid w:val="005468AC"/>
    <w:rsid w:val="00546C16"/>
    <w:rsid w:val="00546C9C"/>
    <w:rsid w:val="00546D0B"/>
    <w:rsid w:val="00546FC4"/>
    <w:rsid w:val="005471C5"/>
    <w:rsid w:val="005471FA"/>
    <w:rsid w:val="005476D2"/>
    <w:rsid w:val="00547795"/>
    <w:rsid w:val="005478A2"/>
    <w:rsid w:val="005478D0"/>
    <w:rsid w:val="00547B81"/>
    <w:rsid w:val="00547C0F"/>
    <w:rsid w:val="00547D0A"/>
    <w:rsid w:val="00550037"/>
    <w:rsid w:val="0055010C"/>
    <w:rsid w:val="00550365"/>
    <w:rsid w:val="005503B2"/>
    <w:rsid w:val="005504FF"/>
    <w:rsid w:val="00550500"/>
    <w:rsid w:val="005505EE"/>
    <w:rsid w:val="00550896"/>
    <w:rsid w:val="00550BE9"/>
    <w:rsid w:val="00550CF9"/>
    <w:rsid w:val="00551162"/>
    <w:rsid w:val="0055136B"/>
    <w:rsid w:val="0055158B"/>
    <w:rsid w:val="00551670"/>
    <w:rsid w:val="00551710"/>
    <w:rsid w:val="005517FF"/>
    <w:rsid w:val="005519A8"/>
    <w:rsid w:val="00551A9A"/>
    <w:rsid w:val="00552083"/>
    <w:rsid w:val="0055251C"/>
    <w:rsid w:val="00552525"/>
    <w:rsid w:val="005527D5"/>
    <w:rsid w:val="00552881"/>
    <w:rsid w:val="005529C6"/>
    <w:rsid w:val="00552AFC"/>
    <w:rsid w:val="00552DDA"/>
    <w:rsid w:val="00553087"/>
    <w:rsid w:val="00553091"/>
    <w:rsid w:val="005531EE"/>
    <w:rsid w:val="0055336B"/>
    <w:rsid w:val="00553712"/>
    <w:rsid w:val="00553763"/>
    <w:rsid w:val="005537AF"/>
    <w:rsid w:val="00553838"/>
    <w:rsid w:val="005539C6"/>
    <w:rsid w:val="00553C8E"/>
    <w:rsid w:val="00553D3C"/>
    <w:rsid w:val="00553D60"/>
    <w:rsid w:val="00553DF7"/>
    <w:rsid w:val="00553E3A"/>
    <w:rsid w:val="00553F9A"/>
    <w:rsid w:val="00554042"/>
    <w:rsid w:val="0055407E"/>
    <w:rsid w:val="005541A7"/>
    <w:rsid w:val="0055436F"/>
    <w:rsid w:val="00554645"/>
    <w:rsid w:val="00554671"/>
    <w:rsid w:val="00554680"/>
    <w:rsid w:val="005547CC"/>
    <w:rsid w:val="00554860"/>
    <w:rsid w:val="00554868"/>
    <w:rsid w:val="00554CC4"/>
    <w:rsid w:val="00554FAB"/>
    <w:rsid w:val="005552EB"/>
    <w:rsid w:val="005554BA"/>
    <w:rsid w:val="0055555F"/>
    <w:rsid w:val="005556F8"/>
    <w:rsid w:val="005556FA"/>
    <w:rsid w:val="00555845"/>
    <w:rsid w:val="005558B7"/>
    <w:rsid w:val="00555C79"/>
    <w:rsid w:val="00556019"/>
    <w:rsid w:val="0055609A"/>
    <w:rsid w:val="005560E4"/>
    <w:rsid w:val="00556347"/>
    <w:rsid w:val="0055641D"/>
    <w:rsid w:val="00556761"/>
    <w:rsid w:val="00556CBE"/>
    <w:rsid w:val="00556E82"/>
    <w:rsid w:val="00556F15"/>
    <w:rsid w:val="005572C6"/>
    <w:rsid w:val="0055734C"/>
    <w:rsid w:val="0055764F"/>
    <w:rsid w:val="0055769D"/>
    <w:rsid w:val="005577AE"/>
    <w:rsid w:val="005577BF"/>
    <w:rsid w:val="00557B77"/>
    <w:rsid w:val="00557C51"/>
    <w:rsid w:val="00557C63"/>
    <w:rsid w:val="00557F1A"/>
    <w:rsid w:val="00557F83"/>
    <w:rsid w:val="005600B0"/>
    <w:rsid w:val="005600BA"/>
    <w:rsid w:val="0056021C"/>
    <w:rsid w:val="005603E2"/>
    <w:rsid w:val="00560442"/>
    <w:rsid w:val="00560486"/>
    <w:rsid w:val="00560601"/>
    <w:rsid w:val="005607E6"/>
    <w:rsid w:val="00560863"/>
    <w:rsid w:val="00560865"/>
    <w:rsid w:val="00560AAA"/>
    <w:rsid w:val="00560AAC"/>
    <w:rsid w:val="00560AD6"/>
    <w:rsid w:val="00560B2F"/>
    <w:rsid w:val="00560C1D"/>
    <w:rsid w:val="00560D55"/>
    <w:rsid w:val="00560DB7"/>
    <w:rsid w:val="00560FB0"/>
    <w:rsid w:val="0056129E"/>
    <w:rsid w:val="00561315"/>
    <w:rsid w:val="005617F3"/>
    <w:rsid w:val="0056184E"/>
    <w:rsid w:val="0056186E"/>
    <w:rsid w:val="00561ADD"/>
    <w:rsid w:val="00561B5C"/>
    <w:rsid w:val="00561B76"/>
    <w:rsid w:val="00561BEE"/>
    <w:rsid w:val="00561DBF"/>
    <w:rsid w:val="00561DD1"/>
    <w:rsid w:val="00561FBC"/>
    <w:rsid w:val="00562008"/>
    <w:rsid w:val="0056209A"/>
    <w:rsid w:val="0056221D"/>
    <w:rsid w:val="005622C5"/>
    <w:rsid w:val="00562356"/>
    <w:rsid w:val="005623DC"/>
    <w:rsid w:val="00562563"/>
    <w:rsid w:val="0056261E"/>
    <w:rsid w:val="0056262F"/>
    <w:rsid w:val="005626BA"/>
    <w:rsid w:val="00562743"/>
    <w:rsid w:val="0056286B"/>
    <w:rsid w:val="005628CD"/>
    <w:rsid w:val="00562A61"/>
    <w:rsid w:val="00562C54"/>
    <w:rsid w:val="00562F06"/>
    <w:rsid w:val="005631C8"/>
    <w:rsid w:val="00563220"/>
    <w:rsid w:val="005632ED"/>
    <w:rsid w:val="00563520"/>
    <w:rsid w:val="0056353A"/>
    <w:rsid w:val="005635F1"/>
    <w:rsid w:val="0056372F"/>
    <w:rsid w:val="005637B2"/>
    <w:rsid w:val="005637DA"/>
    <w:rsid w:val="005638AF"/>
    <w:rsid w:val="00563B8F"/>
    <w:rsid w:val="00563BA5"/>
    <w:rsid w:val="00563BBC"/>
    <w:rsid w:val="00563BEE"/>
    <w:rsid w:val="00563F59"/>
    <w:rsid w:val="00563F75"/>
    <w:rsid w:val="00564471"/>
    <w:rsid w:val="005645CB"/>
    <w:rsid w:val="0056467E"/>
    <w:rsid w:val="00564B01"/>
    <w:rsid w:val="00564BC2"/>
    <w:rsid w:val="00564CB9"/>
    <w:rsid w:val="00564E69"/>
    <w:rsid w:val="00564F4F"/>
    <w:rsid w:val="00564FA5"/>
    <w:rsid w:val="005651F0"/>
    <w:rsid w:val="005652C1"/>
    <w:rsid w:val="005652EC"/>
    <w:rsid w:val="0056544C"/>
    <w:rsid w:val="00565521"/>
    <w:rsid w:val="005655EE"/>
    <w:rsid w:val="0056592C"/>
    <w:rsid w:val="0056594D"/>
    <w:rsid w:val="00565975"/>
    <w:rsid w:val="00565A68"/>
    <w:rsid w:val="00565B74"/>
    <w:rsid w:val="00565FD4"/>
    <w:rsid w:val="00566006"/>
    <w:rsid w:val="00566095"/>
    <w:rsid w:val="005660DC"/>
    <w:rsid w:val="0056616E"/>
    <w:rsid w:val="0056637A"/>
    <w:rsid w:val="00566446"/>
    <w:rsid w:val="005666E3"/>
    <w:rsid w:val="0056672C"/>
    <w:rsid w:val="005669DD"/>
    <w:rsid w:val="005669E4"/>
    <w:rsid w:val="005669F6"/>
    <w:rsid w:val="00566D76"/>
    <w:rsid w:val="0056707F"/>
    <w:rsid w:val="00567110"/>
    <w:rsid w:val="00567497"/>
    <w:rsid w:val="005674D4"/>
    <w:rsid w:val="005675A3"/>
    <w:rsid w:val="005675B3"/>
    <w:rsid w:val="005677B1"/>
    <w:rsid w:val="005677FD"/>
    <w:rsid w:val="005678B5"/>
    <w:rsid w:val="00567AA2"/>
    <w:rsid w:val="00567B94"/>
    <w:rsid w:val="00567C59"/>
    <w:rsid w:val="00567D1F"/>
    <w:rsid w:val="00567D23"/>
    <w:rsid w:val="0057010D"/>
    <w:rsid w:val="005702E6"/>
    <w:rsid w:val="005704F0"/>
    <w:rsid w:val="00570554"/>
    <w:rsid w:val="00570605"/>
    <w:rsid w:val="005706B6"/>
    <w:rsid w:val="005706F1"/>
    <w:rsid w:val="0057077A"/>
    <w:rsid w:val="0057088B"/>
    <w:rsid w:val="00570A62"/>
    <w:rsid w:val="00570B20"/>
    <w:rsid w:val="00570B82"/>
    <w:rsid w:val="00570C77"/>
    <w:rsid w:val="00570E53"/>
    <w:rsid w:val="00571032"/>
    <w:rsid w:val="005710EF"/>
    <w:rsid w:val="0057118F"/>
    <w:rsid w:val="00571207"/>
    <w:rsid w:val="0057127C"/>
    <w:rsid w:val="00571571"/>
    <w:rsid w:val="00571D5C"/>
    <w:rsid w:val="00571DB3"/>
    <w:rsid w:val="005725D7"/>
    <w:rsid w:val="00572606"/>
    <w:rsid w:val="0057278B"/>
    <w:rsid w:val="00572795"/>
    <w:rsid w:val="00572AE2"/>
    <w:rsid w:val="00572CF7"/>
    <w:rsid w:val="00572E43"/>
    <w:rsid w:val="00573103"/>
    <w:rsid w:val="0057312C"/>
    <w:rsid w:val="00573236"/>
    <w:rsid w:val="005734DE"/>
    <w:rsid w:val="005737C2"/>
    <w:rsid w:val="00573DFF"/>
    <w:rsid w:val="00573FE3"/>
    <w:rsid w:val="00574061"/>
    <w:rsid w:val="00574116"/>
    <w:rsid w:val="00574222"/>
    <w:rsid w:val="00574314"/>
    <w:rsid w:val="005746E3"/>
    <w:rsid w:val="005746E7"/>
    <w:rsid w:val="005746EA"/>
    <w:rsid w:val="005747BE"/>
    <w:rsid w:val="005747C9"/>
    <w:rsid w:val="005748F2"/>
    <w:rsid w:val="00574A4C"/>
    <w:rsid w:val="00574B38"/>
    <w:rsid w:val="00574C35"/>
    <w:rsid w:val="00574F9D"/>
    <w:rsid w:val="00575247"/>
    <w:rsid w:val="005752F1"/>
    <w:rsid w:val="005753F2"/>
    <w:rsid w:val="005754C0"/>
    <w:rsid w:val="00575676"/>
    <w:rsid w:val="005757DE"/>
    <w:rsid w:val="005758CF"/>
    <w:rsid w:val="00575EC8"/>
    <w:rsid w:val="005762D4"/>
    <w:rsid w:val="0057643D"/>
    <w:rsid w:val="0057668A"/>
    <w:rsid w:val="005767F0"/>
    <w:rsid w:val="00576857"/>
    <w:rsid w:val="005768DF"/>
    <w:rsid w:val="00576A01"/>
    <w:rsid w:val="00576A84"/>
    <w:rsid w:val="00576BB1"/>
    <w:rsid w:val="00576E72"/>
    <w:rsid w:val="00576E9E"/>
    <w:rsid w:val="0057721A"/>
    <w:rsid w:val="005774E1"/>
    <w:rsid w:val="00577502"/>
    <w:rsid w:val="00577B21"/>
    <w:rsid w:val="00577CE5"/>
    <w:rsid w:val="00577FE0"/>
    <w:rsid w:val="005803E3"/>
    <w:rsid w:val="00580416"/>
    <w:rsid w:val="00580597"/>
    <w:rsid w:val="005805BC"/>
    <w:rsid w:val="005805BF"/>
    <w:rsid w:val="005805C2"/>
    <w:rsid w:val="005806FB"/>
    <w:rsid w:val="0058070D"/>
    <w:rsid w:val="00580827"/>
    <w:rsid w:val="00580B30"/>
    <w:rsid w:val="00580CE3"/>
    <w:rsid w:val="00580D49"/>
    <w:rsid w:val="00580E54"/>
    <w:rsid w:val="00581098"/>
    <w:rsid w:val="005812D7"/>
    <w:rsid w:val="00581391"/>
    <w:rsid w:val="0058140D"/>
    <w:rsid w:val="00581485"/>
    <w:rsid w:val="00581550"/>
    <w:rsid w:val="00581584"/>
    <w:rsid w:val="00581718"/>
    <w:rsid w:val="0058187C"/>
    <w:rsid w:val="00581A01"/>
    <w:rsid w:val="00581B45"/>
    <w:rsid w:val="00581BA7"/>
    <w:rsid w:val="00581C93"/>
    <w:rsid w:val="00581E7F"/>
    <w:rsid w:val="00581EFF"/>
    <w:rsid w:val="00582065"/>
    <w:rsid w:val="005820EA"/>
    <w:rsid w:val="00582128"/>
    <w:rsid w:val="0058224A"/>
    <w:rsid w:val="00582345"/>
    <w:rsid w:val="00582E94"/>
    <w:rsid w:val="00583287"/>
    <w:rsid w:val="0058329D"/>
    <w:rsid w:val="00583319"/>
    <w:rsid w:val="005833B5"/>
    <w:rsid w:val="005835A2"/>
    <w:rsid w:val="0058360D"/>
    <w:rsid w:val="00583614"/>
    <w:rsid w:val="00583639"/>
    <w:rsid w:val="00583660"/>
    <w:rsid w:val="005836CA"/>
    <w:rsid w:val="00583742"/>
    <w:rsid w:val="00583747"/>
    <w:rsid w:val="0058379E"/>
    <w:rsid w:val="005838F4"/>
    <w:rsid w:val="00583BFE"/>
    <w:rsid w:val="00583DFC"/>
    <w:rsid w:val="00583F58"/>
    <w:rsid w:val="0058402F"/>
    <w:rsid w:val="00584164"/>
    <w:rsid w:val="005841C2"/>
    <w:rsid w:val="005849DE"/>
    <w:rsid w:val="00584C0E"/>
    <w:rsid w:val="00584C4A"/>
    <w:rsid w:val="00584C58"/>
    <w:rsid w:val="00584C6B"/>
    <w:rsid w:val="00584D60"/>
    <w:rsid w:val="00585043"/>
    <w:rsid w:val="00585608"/>
    <w:rsid w:val="005856C9"/>
    <w:rsid w:val="00585A89"/>
    <w:rsid w:val="00585C38"/>
    <w:rsid w:val="00586026"/>
    <w:rsid w:val="00586176"/>
    <w:rsid w:val="005862F8"/>
    <w:rsid w:val="00586336"/>
    <w:rsid w:val="00586611"/>
    <w:rsid w:val="0058694F"/>
    <w:rsid w:val="00586ACA"/>
    <w:rsid w:val="00586BB4"/>
    <w:rsid w:val="00586C86"/>
    <w:rsid w:val="00586CFB"/>
    <w:rsid w:val="00586E9D"/>
    <w:rsid w:val="0058709A"/>
    <w:rsid w:val="005870BC"/>
    <w:rsid w:val="00587188"/>
    <w:rsid w:val="005872EF"/>
    <w:rsid w:val="0058793E"/>
    <w:rsid w:val="0058794E"/>
    <w:rsid w:val="00587B51"/>
    <w:rsid w:val="00587C68"/>
    <w:rsid w:val="00587D18"/>
    <w:rsid w:val="00587E48"/>
    <w:rsid w:val="00590081"/>
    <w:rsid w:val="0059029A"/>
    <w:rsid w:val="00590316"/>
    <w:rsid w:val="0059045F"/>
    <w:rsid w:val="0059069E"/>
    <w:rsid w:val="00590748"/>
    <w:rsid w:val="00590B45"/>
    <w:rsid w:val="00590BC6"/>
    <w:rsid w:val="00590D8D"/>
    <w:rsid w:val="00590F28"/>
    <w:rsid w:val="00591337"/>
    <w:rsid w:val="00591443"/>
    <w:rsid w:val="005915B3"/>
    <w:rsid w:val="00591607"/>
    <w:rsid w:val="0059170A"/>
    <w:rsid w:val="00591851"/>
    <w:rsid w:val="00591982"/>
    <w:rsid w:val="00591B20"/>
    <w:rsid w:val="00591D31"/>
    <w:rsid w:val="00591F98"/>
    <w:rsid w:val="00592159"/>
    <w:rsid w:val="0059246A"/>
    <w:rsid w:val="005924DD"/>
    <w:rsid w:val="00592578"/>
    <w:rsid w:val="005925CB"/>
    <w:rsid w:val="0059262E"/>
    <w:rsid w:val="005927E1"/>
    <w:rsid w:val="0059297F"/>
    <w:rsid w:val="00592A61"/>
    <w:rsid w:val="00592AA6"/>
    <w:rsid w:val="00592C2B"/>
    <w:rsid w:val="00592C42"/>
    <w:rsid w:val="00592E84"/>
    <w:rsid w:val="00592EDF"/>
    <w:rsid w:val="00593070"/>
    <w:rsid w:val="00593089"/>
    <w:rsid w:val="00593162"/>
    <w:rsid w:val="00593209"/>
    <w:rsid w:val="00593466"/>
    <w:rsid w:val="005934BA"/>
    <w:rsid w:val="005934E7"/>
    <w:rsid w:val="005935B2"/>
    <w:rsid w:val="00593822"/>
    <w:rsid w:val="00593862"/>
    <w:rsid w:val="00593963"/>
    <w:rsid w:val="00593BBE"/>
    <w:rsid w:val="00593EA9"/>
    <w:rsid w:val="00593EBA"/>
    <w:rsid w:val="00593EDD"/>
    <w:rsid w:val="005940D2"/>
    <w:rsid w:val="00594103"/>
    <w:rsid w:val="005941F3"/>
    <w:rsid w:val="0059421F"/>
    <w:rsid w:val="005942DE"/>
    <w:rsid w:val="005942E4"/>
    <w:rsid w:val="005945A2"/>
    <w:rsid w:val="00594660"/>
    <w:rsid w:val="0059469A"/>
    <w:rsid w:val="005947FC"/>
    <w:rsid w:val="0059493D"/>
    <w:rsid w:val="00594965"/>
    <w:rsid w:val="00594A3C"/>
    <w:rsid w:val="00594A45"/>
    <w:rsid w:val="00594C39"/>
    <w:rsid w:val="00594D6F"/>
    <w:rsid w:val="00594EE1"/>
    <w:rsid w:val="00595043"/>
    <w:rsid w:val="005950F1"/>
    <w:rsid w:val="00595447"/>
    <w:rsid w:val="005955B2"/>
    <w:rsid w:val="00595847"/>
    <w:rsid w:val="00595941"/>
    <w:rsid w:val="00595ACC"/>
    <w:rsid w:val="00595B28"/>
    <w:rsid w:val="00595C51"/>
    <w:rsid w:val="00595E83"/>
    <w:rsid w:val="00595EBA"/>
    <w:rsid w:val="00595FCC"/>
    <w:rsid w:val="005960A2"/>
    <w:rsid w:val="0059616D"/>
    <w:rsid w:val="00596265"/>
    <w:rsid w:val="0059633B"/>
    <w:rsid w:val="00596428"/>
    <w:rsid w:val="00596576"/>
    <w:rsid w:val="0059663F"/>
    <w:rsid w:val="0059673B"/>
    <w:rsid w:val="00596C39"/>
    <w:rsid w:val="00596D54"/>
    <w:rsid w:val="00597200"/>
    <w:rsid w:val="0059728A"/>
    <w:rsid w:val="00597296"/>
    <w:rsid w:val="0059734E"/>
    <w:rsid w:val="00597366"/>
    <w:rsid w:val="00597378"/>
    <w:rsid w:val="00597479"/>
    <w:rsid w:val="005974B2"/>
    <w:rsid w:val="005978CA"/>
    <w:rsid w:val="00597A30"/>
    <w:rsid w:val="00597B6B"/>
    <w:rsid w:val="00597BAC"/>
    <w:rsid w:val="00597C22"/>
    <w:rsid w:val="00597C70"/>
    <w:rsid w:val="00597E4A"/>
    <w:rsid w:val="00597FAF"/>
    <w:rsid w:val="005A0034"/>
    <w:rsid w:val="005A01EC"/>
    <w:rsid w:val="005A028F"/>
    <w:rsid w:val="005A0300"/>
    <w:rsid w:val="005A0431"/>
    <w:rsid w:val="005A0619"/>
    <w:rsid w:val="005A0718"/>
    <w:rsid w:val="005A0730"/>
    <w:rsid w:val="005A076E"/>
    <w:rsid w:val="005A0858"/>
    <w:rsid w:val="005A096E"/>
    <w:rsid w:val="005A098F"/>
    <w:rsid w:val="005A0BBA"/>
    <w:rsid w:val="005A0C16"/>
    <w:rsid w:val="005A0E98"/>
    <w:rsid w:val="005A0EF0"/>
    <w:rsid w:val="005A0F72"/>
    <w:rsid w:val="005A1149"/>
    <w:rsid w:val="005A13C3"/>
    <w:rsid w:val="005A145A"/>
    <w:rsid w:val="005A14B8"/>
    <w:rsid w:val="005A15F4"/>
    <w:rsid w:val="005A174B"/>
    <w:rsid w:val="005A17D6"/>
    <w:rsid w:val="005A188B"/>
    <w:rsid w:val="005A19C1"/>
    <w:rsid w:val="005A1B6A"/>
    <w:rsid w:val="005A1D0C"/>
    <w:rsid w:val="005A1DD5"/>
    <w:rsid w:val="005A2645"/>
    <w:rsid w:val="005A2693"/>
    <w:rsid w:val="005A281D"/>
    <w:rsid w:val="005A2862"/>
    <w:rsid w:val="005A2B19"/>
    <w:rsid w:val="005A2C2C"/>
    <w:rsid w:val="005A2CC1"/>
    <w:rsid w:val="005A305F"/>
    <w:rsid w:val="005A30A8"/>
    <w:rsid w:val="005A30CB"/>
    <w:rsid w:val="005A3186"/>
    <w:rsid w:val="005A31C8"/>
    <w:rsid w:val="005A32E8"/>
    <w:rsid w:val="005A3333"/>
    <w:rsid w:val="005A33F1"/>
    <w:rsid w:val="005A3442"/>
    <w:rsid w:val="005A3471"/>
    <w:rsid w:val="005A34F1"/>
    <w:rsid w:val="005A3504"/>
    <w:rsid w:val="005A35B2"/>
    <w:rsid w:val="005A35E2"/>
    <w:rsid w:val="005A364B"/>
    <w:rsid w:val="005A378E"/>
    <w:rsid w:val="005A37D9"/>
    <w:rsid w:val="005A3B1A"/>
    <w:rsid w:val="005A3BD8"/>
    <w:rsid w:val="005A3D3E"/>
    <w:rsid w:val="005A3E6E"/>
    <w:rsid w:val="005A3E76"/>
    <w:rsid w:val="005A3FF7"/>
    <w:rsid w:val="005A430F"/>
    <w:rsid w:val="005A440F"/>
    <w:rsid w:val="005A446A"/>
    <w:rsid w:val="005A4522"/>
    <w:rsid w:val="005A488F"/>
    <w:rsid w:val="005A4931"/>
    <w:rsid w:val="005A4A20"/>
    <w:rsid w:val="005A4AFD"/>
    <w:rsid w:val="005A4C60"/>
    <w:rsid w:val="005A4D69"/>
    <w:rsid w:val="005A4E78"/>
    <w:rsid w:val="005A4EB2"/>
    <w:rsid w:val="005A4EBB"/>
    <w:rsid w:val="005A4FCF"/>
    <w:rsid w:val="005A5090"/>
    <w:rsid w:val="005A5224"/>
    <w:rsid w:val="005A52EA"/>
    <w:rsid w:val="005A531B"/>
    <w:rsid w:val="005A531E"/>
    <w:rsid w:val="005A55AD"/>
    <w:rsid w:val="005A57CA"/>
    <w:rsid w:val="005A5822"/>
    <w:rsid w:val="005A590E"/>
    <w:rsid w:val="005A5A80"/>
    <w:rsid w:val="005A5CA8"/>
    <w:rsid w:val="005A5CE2"/>
    <w:rsid w:val="005A5F2E"/>
    <w:rsid w:val="005A6440"/>
    <w:rsid w:val="005A653D"/>
    <w:rsid w:val="005A65EF"/>
    <w:rsid w:val="005A672B"/>
    <w:rsid w:val="005A6943"/>
    <w:rsid w:val="005A6A0C"/>
    <w:rsid w:val="005A6A15"/>
    <w:rsid w:val="005A6AA8"/>
    <w:rsid w:val="005A6B08"/>
    <w:rsid w:val="005A6BA0"/>
    <w:rsid w:val="005A6E21"/>
    <w:rsid w:val="005A6EF6"/>
    <w:rsid w:val="005A6FF8"/>
    <w:rsid w:val="005A7169"/>
    <w:rsid w:val="005A71DC"/>
    <w:rsid w:val="005A73CA"/>
    <w:rsid w:val="005A74B4"/>
    <w:rsid w:val="005A74C3"/>
    <w:rsid w:val="005A7534"/>
    <w:rsid w:val="005A76A9"/>
    <w:rsid w:val="005A786D"/>
    <w:rsid w:val="005A7889"/>
    <w:rsid w:val="005A78A7"/>
    <w:rsid w:val="005A78ED"/>
    <w:rsid w:val="005A7987"/>
    <w:rsid w:val="005A7A32"/>
    <w:rsid w:val="005A7A4D"/>
    <w:rsid w:val="005A7AC7"/>
    <w:rsid w:val="005A7B22"/>
    <w:rsid w:val="005A7C19"/>
    <w:rsid w:val="005A7C61"/>
    <w:rsid w:val="005A7D28"/>
    <w:rsid w:val="005A7DF5"/>
    <w:rsid w:val="005A7E1C"/>
    <w:rsid w:val="005A7F00"/>
    <w:rsid w:val="005B01AA"/>
    <w:rsid w:val="005B023F"/>
    <w:rsid w:val="005B024A"/>
    <w:rsid w:val="005B03C6"/>
    <w:rsid w:val="005B0490"/>
    <w:rsid w:val="005B0541"/>
    <w:rsid w:val="005B0785"/>
    <w:rsid w:val="005B0BF1"/>
    <w:rsid w:val="005B0D0F"/>
    <w:rsid w:val="005B0D46"/>
    <w:rsid w:val="005B0E0A"/>
    <w:rsid w:val="005B0E7B"/>
    <w:rsid w:val="005B117C"/>
    <w:rsid w:val="005B13DF"/>
    <w:rsid w:val="005B146B"/>
    <w:rsid w:val="005B155B"/>
    <w:rsid w:val="005B1615"/>
    <w:rsid w:val="005B17B9"/>
    <w:rsid w:val="005B19DA"/>
    <w:rsid w:val="005B19F7"/>
    <w:rsid w:val="005B1AAE"/>
    <w:rsid w:val="005B1B23"/>
    <w:rsid w:val="005B1B39"/>
    <w:rsid w:val="005B1B58"/>
    <w:rsid w:val="005B1BBF"/>
    <w:rsid w:val="005B1CB0"/>
    <w:rsid w:val="005B1DED"/>
    <w:rsid w:val="005B2038"/>
    <w:rsid w:val="005B21DF"/>
    <w:rsid w:val="005B2262"/>
    <w:rsid w:val="005B269B"/>
    <w:rsid w:val="005B2710"/>
    <w:rsid w:val="005B275B"/>
    <w:rsid w:val="005B29C7"/>
    <w:rsid w:val="005B2A3C"/>
    <w:rsid w:val="005B2B35"/>
    <w:rsid w:val="005B2EDA"/>
    <w:rsid w:val="005B3028"/>
    <w:rsid w:val="005B3221"/>
    <w:rsid w:val="005B323D"/>
    <w:rsid w:val="005B3286"/>
    <w:rsid w:val="005B3297"/>
    <w:rsid w:val="005B3328"/>
    <w:rsid w:val="005B35D1"/>
    <w:rsid w:val="005B3739"/>
    <w:rsid w:val="005B3990"/>
    <w:rsid w:val="005B39A3"/>
    <w:rsid w:val="005B3B4E"/>
    <w:rsid w:val="005B3FCF"/>
    <w:rsid w:val="005B4481"/>
    <w:rsid w:val="005B4645"/>
    <w:rsid w:val="005B4765"/>
    <w:rsid w:val="005B4769"/>
    <w:rsid w:val="005B495D"/>
    <w:rsid w:val="005B49CE"/>
    <w:rsid w:val="005B4EE0"/>
    <w:rsid w:val="005B50BA"/>
    <w:rsid w:val="005B521C"/>
    <w:rsid w:val="005B5271"/>
    <w:rsid w:val="005B5385"/>
    <w:rsid w:val="005B5779"/>
    <w:rsid w:val="005B5873"/>
    <w:rsid w:val="005B58A3"/>
    <w:rsid w:val="005B58AF"/>
    <w:rsid w:val="005B5E71"/>
    <w:rsid w:val="005B5F9D"/>
    <w:rsid w:val="005B62FC"/>
    <w:rsid w:val="005B6452"/>
    <w:rsid w:val="005B6457"/>
    <w:rsid w:val="005B651E"/>
    <w:rsid w:val="005B658C"/>
    <w:rsid w:val="005B65D6"/>
    <w:rsid w:val="005B668E"/>
    <w:rsid w:val="005B66E9"/>
    <w:rsid w:val="005B681D"/>
    <w:rsid w:val="005B6838"/>
    <w:rsid w:val="005B68C5"/>
    <w:rsid w:val="005B69EC"/>
    <w:rsid w:val="005B6E1B"/>
    <w:rsid w:val="005B6FD6"/>
    <w:rsid w:val="005B7242"/>
    <w:rsid w:val="005B73E7"/>
    <w:rsid w:val="005B7646"/>
    <w:rsid w:val="005B783D"/>
    <w:rsid w:val="005B7974"/>
    <w:rsid w:val="005B7A6B"/>
    <w:rsid w:val="005B7AA2"/>
    <w:rsid w:val="005B7B5F"/>
    <w:rsid w:val="005C0021"/>
    <w:rsid w:val="005C0259"/>
    <w:rsid w:val="005C0371"/>
    <w:rsid w:val="005C03E2"/>
    <w:rsid w:val="005C0584"/>
    <w:rsid w:val="005C06F6"/>
    <w:rsid w:val="005C081B"/>
    <w:rsid w:val="005C088A"/>
    <w:rsid w:val="005C08CD"/>
    <w:rsid w:val="005C098B"/>
    <w:rsid w:val="005C09C9"/>
    <w:rsid w:val="005C0FC5"/>
    <w:rsid w:val="005C1160"/>
    <w:rsid w:val="005C1185"/>
    <w:rsid w:val="005C12EB"/>
    <w:rsid w:val="005C1684"/>
    <w:rsid w:val="005C17D2"/>
    <w:rsid w:val="005C184A"/>
    <w:rsid w:val="005C1850"/>
    <w:rsid w:val="005C1863"/>
    <w:rsid w:val="005C188A"/>
    <w:rsid w:val="005C1891"/>
    <w:rsid w:val="005C194E"/>
    <w:rsid w:val="005C19EA"/>
    <w:rsid w:val="005C1A11"/>
    <w:rsid w:val="005C1AF5"/>
    <w:rsid w:val="005C1BAC"/>
    <w:rsid w:val="005C1D30"/>
    <w:rsid w:val="005C1FF6"/>
    <w:rsid w:val="005C202C"/>
    <w:rsid w:val="005C215A"/>
    <w:rsid w:val="005C2330"/>
    <w:rsid w:val="005C242A"/>
    <w:rsid w:val="005C2853"/>
    <w:rsid w:val="005C291A"/>
    <w:rsid w:val="005C2E0E"/>
    <w:rsid w:val="005C2E8E"/>
    <w:rsid w:val="005C2F4E"/>
    <w:rsid w:val="005C310C"/>
    <w:rsid w:val="005C315B"/>
    <w:rsid w:val="005C3170"/>
    <w:rsid w:val="005C3256"/>
    <w:rsid w:val="005C32F2"/>
    <w:rsid w:val="005C35E2"/>
    <w:rsid w:val="005C381B"/>
    <w:rsid w:val="005C3A07"/>
    <w:rsid w:val="005C3A30"/>
    <w:rsid w:val="005C3BF1"/>
    <w:rsid w:val="005C3D76"/>
    <w:rsid w:val="005C3FEE"/>
    <w:rsid w:val="005C4408"/>
    <w:rsid w:val="005C44B2"/>
    <w:rsid w:val="005C48F4"/>
    <w:rsid w:val="005C4A6A"/>
    <w:rsid w:val="005C4B8B"/>
    <w:rsid w:val="005C4DBC"/>
    <w:rsid w:val="005C4E05"/>
    <w:rsid w:val="005C4E7F"/>
    <w:rsid w:val="005C4FEE"/>
    <w:rsid w:val="005C5174"/>
    <w:rsid w:val="005C518B"/>
    <w:rsid w:val="005C52F5"/>
    <w:rsid w:val="005C5332"/>
    <w:rsid w:val="005C5371"/>
    <w:rsid w:val="005C5509"/>
    <w:rsid w:val="005C556E"/>
    <w:rsid w:val="005C560E"/>
    <w:rsid w:val="005C58B9"/>
    <w:rsid w:val="005C59EE"/>
    <w:rsid w:val="005C5ACC"/>
    <w:rsid w:val="005C5BDF"/>
    <w:rsid w:val="005C5DAB"/>
    <w:rsid w:val="005C5E39"/>
    <w:rsid w:val="005C5E43"/>
    <w:rsid w:val="005C642C"/>
    <w:rsid w:val="005C65CA"/>
    <w:rsid w:val="005C6657"/>
    <w:rsid w:val="005C66DC"/>
    <w:rsid w:val="005C68B1"/>
    <w:rsid w:val="005C690B"/>
    <w:rsid w:val="005C6BF2"/>
    <w:rsid w:val="005C6E5E"/>
    <w:rsid w:val="005C6F6D"/>
    <w:rsid w:val="005C7076"/>
    <w:rsid w:val="005C70B6"/>
    <w:rsid w:val="005C7189"/>
    <w:rsid w:val="005C7267"/>
    <w:rsid w:val="005C7477"/>
    <w:rsid w:val="005C7AD3"/>
    <w:rsid w:val="005C7C55"/>
    <w:rsid w:val="005C7D1F"/>
    <w:rsid w:val="005C7E09"/>
    <w:rsid w:val="005D00DE"/>
    <w:rsid w:val="005D01B2"/>
    <w:rsid w:val="005D052C"/>
    <w:rsid w:val="005D062A"/>
    <w:rsid w:val="005D08DF"/>
    <w:rsid w:val="005D08F5"/>
    <w:rsid w:val="005D0B56"/>
    <w:rsid w:val="005D0C0C"/>
    <w:rsid w:val="005D0C77"/>
    <w:rsid w:val="005D0F67"/>
    <w:rsid w:val="005D1208"/>
    <w:rsid w:val="005D141F"/>
    <w:rsid w:val="005D180A"/>
    <w:rsid w:val="005D18A2"/>
    <w:rsid w:val="005D1A58"/>
    <w:rsid w:val="005D1B28"/>
    <w:rsid w:val="005D1BE4"/>
    <w:rsid w:val="005D1DF7"/>
    <w:rsid w:val="005D1E31"/>
    <w:rsid w:val="005D204E"/>
    <w:rsid w:val="005D20B9"/>
    <w:rsid w:val="005D2125"/>
    <w:rsid w:val="005D274C"/>
    <w:rsid w:val="005D2970"/>
    <w:rsid w:val="005D2BA1"/>
    <w:rsid w:val="005D2C91"/>
    <w:rsid w:val="005D2D8E"/>
    <w:rsid w:val="005D2DBF"/>
    <w:rsid w:val="005D2DDB"/>
    <w:rsid w:val="005D3328"/>
    <w:rsid w:val="005D33F0"/>
    <w:rsid w:val="005D34FA"/>
    <w:rsid w:val="005D3526"/>
    <w:rsid w:val="005D3709"/>
    <w:rsid w:val="005D371A"/>
    <w:rsid w:val="005D3798"/>
    <w:rsid w:val="005D380F"/>
    <w:rsid w:val="005D3862"/>
    <w:rsid w:val="005D392A"/>
    <w:rsid w:val="005D39ED"/>
    <w:rsid w:val="005D3A62"/>
    <w:rsid w:val="005D3A88"/>
    <w:rsid w:val="005D3A8E"/>
    <w:rsid w:val="005D3AF8"/>
    <w:rsid w:val="005D3B27"/>
    <w:rsid w:val="005D3B4D"/>
    <w:rsid w:val="005D3DD5"/>
    <w:rsid w:val="005D40A3"/>
    <w:rsid w:val="005D42CD"/>
    <w:rsid w:val="005D42DB"/>
    <w:rsid w:val="005D452A"/>
    <w:rsid w:val="005D452E"/>
    <w:rsid w:val="005D4575"/>
    <w:rsid w:val="005D45DB"/>
    <w:rsid w:val="005D467B"/>
    <w:rsid w:val="005D47AF"/>
    <w:rsid w:val="005D48C3"/>
    <w:rsid w:val="005D49BA"/>
    <w:rsid w:val="005D4A5F"/>
    <w:rsid w:val="005D4B66"/>
    <w:rsid w:val="005D4C79"/>
    <w:rsid w:val="005D4EF2"/>
    <w:rsid w:val="005D4F6D"/>
    <w:rsid w:val="005D504E"/>
    <w:rsid w:val="005D5078"/>
    <w:rsid w:val="005D53BC"/>
    <w:rsid w:val="005D554F"/>
    <w:rsid w:val="005D56F9"/>
    <w:rsid w:val="005D580E"/>
    <w:rsid w:val="005D587C"/>
    <w:rsid w:val="005D59CF"/>
    <w:rsid w:val="005D5A52"/>
    <w:rsid w:val="005D5E05"/>
    <w:rsid w:val="005D5E20"/>
    <w:rsid w:val="005D5EE0"/>
    <w:rsid w:val="005D5F2C"/>
    <w:rsid w:val="005D5F87"/>
    <w:rsid w:val="005D61AB"/>
    <w:rsid w:val="005D61B2"/>
    <w:rsid w:val="005D62E3"/>
    <w:rsid w:val="005D643C"/>
    <w:rsid w:val="005D6498"/>
    <w:rsid w:val="005D6531"/>
    <w:rsid w:val="005D65B2"/>
    <w:rsid w:val="005D65F3"/>
    <w:rsid w:val="005D66DE"/>
    <w:rsid w:val="005D68E9"/>
    <w:rsid w:val="005D69F3"/>
    <w:rsid w:val="005D6AAF"/>
    <w:rsid w:val="005D6ABC"/>
    <w:rsid w:val="005D6DAA"/>
    <w:rsid w:val="005D6EF0"/>
    <w:rsid w:val="005D6EF4"/>
    <w:rsid w:val="005D70CB"/>
    <w:rsid w:val="005D721A"/>
    <w:rsid w:val="005D737A"/>
    <w:rsid w:val="005D7411"/>
    <w:rsid w:val="005D75E7"/>
    <w:rsid w:val="005D7901"/>
    <w:rsid w:val="005D7A4B"/>
    <w:rsid w:val="005D7AD9"/>
    <w:rsid w:val="005D7C67"/>
    <w:rsid w:val="005D7FA5"/>
    <w:rsid w:val="005E001D"/>
    <w:rsid w:val="005E00F4"/>
    <w:rsid w:val="005E0268"/>
    <w:rsid w:val="005E0415"/>
    <w:rsid w:val="005E0515"/>
    <w:rsid w:val="005E0807"/>
    <w:rsid w:val="005E0A39"/>
    <w:rsid w:val="005E0BEE"/>
    <w:rsid w:val="005E0DF7"/>
    <w:rsid w:val="005E0EE0"/>
    <w:rsid w:val="005E0EEA"/>
    <w:rsid w:val="005E10F4"/>
    <w:rsid w:val="005E11C6"/>
    <w:rsid w:val="005E125D"/>
    <w:rsid w:val="005E1268"/>
    <w:rsid w:val="005E12CE"/>
    <w:rsid w:val="005E1649"/>
    <w:rsid w:val="005E1774"/>
    <w:rsid w:val="005E194A"/>
    <w:rsid w:val="005E1A63"/>
    <w:rsid w:val="005E2036"/>
    <w:rsid w:val="005E212B"/>
    <w:rsid w:val="005E21DB"/>
    <w:rsid w:val="005E224C"/>
    <w:rsid w:val="005E2445"/>
    <w:rsid w:val="005E2588"/>
    <w:rsid w:val="005E259D"/>
    <w:rsid w:val="005E2633"/>
    <w:rsid w:val="005E26C9"/>
    <w:rsid w:val="005E26F9"/>
    <w:rsid w:val="005E299A"/>
    <w:rsid w:val="005E2C2C"/>
    <w:rsid w:val="005E2C31"/>
    <w:rsid w:val="005E2CD5"/>
    <w:rsid w:val="005E336D"/>
    <w:rsid w:val="005E3378"/>
    <w:rsid w:val="005E342F"/>
    <w:rsid w:val="005E351F"/>
    <w:rsid w:val="005E3573"/>
    <w:rsid w:val="005E3576"/>
    <w:rsid w:val="005E36CA"/>
    <w:rsid w:val="005E391B"/>
    <w:rsid w:val="005E3976"/>
    <w:rsid w:val="005E3A06"/>
    <w:rsid w:val="005E3AD7"/>
    <w:rsid w:val="005E3AEF"/>
    <w:rsid w:val="005E3C62"/>
    <w:rsid w:val="005E3CE4"/>
    <w:rsid w:val="005E3E75"/>
    <w:rsid w:val="005E3F12"/>
    <w:rsid w:val="005E419B"/>
    <w:rsid w:val="005E4594"/>
    <w:rsid w:val="005E48E3"/>
    <w:rsid w:val="005E4ACF"/>
    <w:rsid w:val="005E4B1D"/>
    <w:rsid w:val="005E4E28"/>
    <w:rsid w:val="005E4E6E"/>
    <w:rsid w:val="005E4E86"/>
    <w:rsid w:val="005E4F44"/>
    <w:rsid w:val="005E50AA"/>
    <w:rsid w:val="005E50F6"/>
    <w:rsid w:val="005E5108"/>
    <w:rsid w:val="005E510C"/>
    <w:rsid w:val="005E5254"/>
    <w:rsid w:val="005E53FF"/>
    <w:rsid w:val="005E565E"/>
    <w:rsid w:val="005E570D"/>
    <w:rsid w:val="005E589D"/>
    <w:rsid w:val="005E5AEA"/>
    <w:rsid w:val="005E5B0F"/>
    <w:rsid w:val="005E5BE5"/>
    <w:rsid w:val="005E5CD3"/>
    <w:rsid w:val="005E5DC5"/>
    <w:rsid w:val="005E6146"/>
    <w:rsid w:val="005E654B"/>
    <w:rsid w:val="005E6644"/>
    <w:rsid w:val="005E66C7"/>
    <w:rsid w:val="005E67C5"/>
    <w:rsid w:val="005E68F6"/>
    <w:rsid w:val="005E69D1"/>
    <w:rsid w:val="005E6B1C"/>
    <w:rsid w:val="005E6BB5"/>
    <w:rsid w:val="005E6C08"/>
    <w:rsid w:val="005E6E58"/>
    <w:rsid w:val="005E6FC7"/>
    <w:rsid w:val="005E73A9"/>
    <w:rsid w:val="005E756A"/>
    <w:rsid w:val="005E757E"/>
    <w:rsid w:val="005E762E"/>
    <w:rsid w:val="005E7735"/>
    <w:rsid w:val="005E775E"/>
    <w:rsid w:val="005E79D5"/>
    <w:rsid w:val="005E7C09"/>
    <w:rsid w:val="005E7D86"/>
    <w:rsid w:val="005E7F29"/>
    <w:rsid w:val="005F01C1"/>
    <w:rsid w:val="005F0411"/>
    <w:rsid w:val="005F04CD"/>
    <w:rsid w:val="005F0844"/>
    <w:rsid w:val="005F095F"/>
    <w:rsid w:val="005F09D4"/>
    <w:rsid w:val="005F0D20"/>
    <w:rsid w:val="005F0DFA"/>
    <w:rsid w:val="005F0E56"/>
    <w:rsid w:val="005F0EC5"/>
    <w:rsid w:val="005F1028"/>
    <w:rsid w:val="005F1156"/>
    <w:rsid w:val="005F12C8"/>
    <w:rsid w:val="005F12E0"/>
    <w:rsid w:val="005F133E"/>
    <w:rsid w:val="005F1479"/>
    <w:rsid w:val="005F1648"/>
    <w:rsid w:val="005F17AE"/>
    <w:rsid w:val="005F17B1"/>
    <w:rsid w:val="005F17BF"/>
    <w:rsid w:val="005F19D8"/>
    <w:rsid w:val="005F1A2A"/>
    <w:rsid w:val="005F1A6C"/>
    <w:rsid w:val="005F1A9D"/>
    <w:rsid w:val="005F1AB1"/>
    <w:rsid w:val="005F1C15"/>
    <w:rsid w:val="005F1CAC"/>
    <w:rsid w:val="005F1FDF"/>
    <w:rsid w:val="005F21E0"/>
    <w:rsid w:val="005F229B"/>
    <w:rsid w:val="005F231F"/>
    <w:rsid w:val="005F255C"/>
    <w:rsid w:val="005F2594"/>
    <w:rsid w:val="005F25B9"/>
    <w:rsid w:val="005F2A01"/>
    <w:rsid w:val="005F2E61"/>
    <w:rsid w:val="005F30B4"/>
    <w:rsid w:val="005F3176"/>
    <w:rsid w:val="005F3252"/>
    <w:rsid w:val="005F32C1"/>
    <w:rsid w:val="005F33B3"/>
    <w:rsid w:val="005F374B"/>
    <w:rsid w:val="005F39CA"/>
    <w:rsid w:val="005F3A6F"/>
    <w:rsid w:val="005F3BB3"/>
    <w:rsid w:val="005F402F"/>
    <w:rsid w:val="005F4158"/>
    <w:rsid w:val="005F4589"/>
    <w:rsid w:val="005F473F"/>
    <w:rsid w:val="005F4D17"/>
    <w:rsid w:val="005F4D2B"/>
    <w:rsid w:val="005F4DD7"/>
    <w:rsid w:val="005F4EC1"/>
    <w:rsid w:val="005F4F29"/>
    <w:rsid w:val="005F4FED"/>
    <w:rsid w:val="005F5152"/>
    <w:rsid w:val="005F51A7"/>
    <w:rsid w:val="005F51AD"/>
    <w:rsid w:val="005F5429"/>
    <w:rsid w:val="005F54D7"/>
    <w:rsid w:val="005F56CD"/>
    <w:rsid w:val="005F5BF9"/>
    <w:rsid w:val="005F5C4E"/>
    <w:rsid w:val="005F6130"/>
    <w:rsid w:val="005F6378"/>
    <w:rsid w:val="005F6381"/>
    <w:rsid w:val="005F63AC"/>
    <w:rsid w:val="005F68A5"/>
    <w:rsid w:val="005F696D"/>
    <w:rsid w:val="005F6A52"/>
    <w:rsid w:val="005F6B5E"/>
    <w:rsid w:val="005F6CC7"/>
    <w:rsid w:val="005F6CF6"/>
    <w:rsid w:val="005F6CFB"/>
    <w:rsid w:val="005F6D74"/>
    <w:rsid w:val="005F6E0D"/>
    <w:rsid w:val="005F6E6E"/>
    <w:rsid w:val="005F6EA4"/>
    <w:rsid w:val="005F6EE5"/>
    <w:rsid w:val="005F7232"/>
    <w:rsid w:val="005F75CD"/>
    <w:rsid w:val="005F7688"/>
    <w:rsid w:val="005F7A1E"/>
    <w:rsid w:val="005F7AB3"/>
    <w:rsid w:val="005F7B38"/>
    <w:rsid w:val="005F7C6F"/>
    <w:rsid w:val="005F7E2E"/>
    <w:rsid w:val="005F7EC4"/>
    <w:rsid w:val="0060013F"/>
    <w:rsid w:val="0060030D"/>
    <w:rsid w:val="0060033F"/>
    <w:rsid w:val="00600399"/>
    <w:rsid w:val="006003ED"/>
    <w:rsid w:val="00600674"/>
    <w:rsid w:val="00600745"/>
    <w:rsid w:val="0060078C"/>
    <w:rsid w:val="00600A59"/>
    <w:rsid w:val="00600BFD"/>
    <w:rsid w:val="00600CB1"/>
    <w:rsid w:val="00600D94"/>
    <w:rsid w:val="00600DAA"/>
    <w:rsid w:val="00600E85"/>
    <w:rsid w:val="006011F3"/>
    <w:rsid w:val="00601391"/>
    <w:rsid w:val="0060141A"/>
    <w:rsid w:val="006016D8"/>
    <w:rsid w:val="0060189F"/>
    <w:rsid w:val="00601A0C"/>
    <w:rsid w:val="00601A73"/>
    <w:rsid w:val="00601BAB"/>
    <w:rsid w:val="00601D45"/>
    <w:rsid w:val="00601F3B"/>
    <w:rsid w:val="00601FDF"/>
    <w:rsid w:val="006020F7"/>
    <w:rsid w:val="006021DA"/>
    <w:rsid w:val="0060224C"/>
    <w:rsid w:val="006024FC"/>
    <w:rsid w:val="00602550"/>
    <w:rsid w:val="006026E5"/>
    <w:rsid w:val="00602708"/>
    <w:rsid w:val="00602723"/>
    <w:rsid w:val="006029A0"/>
    <w:rsid w:val="00602B2A"/>
    <w:rsid w:val="00602B74"/>
    <w:rsid w:val="00602CC8"/>
    <w:rsid w:val="00602D11"/>
    <w:rsid w:val="00602E51"/>
    <w:rsid w:val="00602EF8"/>
    <w:rsid w:val="006031C6"/>
    <w:rsid w:val="00603341"/>
    <w:rsid w:val="0060338D"/>
    <w:rsid w:val="006033A4"/>
    <w:rsid w:val="00603429"/>
    <w:rsid w:val="006034B7"/>
    <w:rsid w:val="006035FA"/>
    <w:rsid w:val="00603683"/>
    <w:rsid w:val="006038F7"/>
    <w:rsid w:val="00603A92"/>
    <w:rsid w:val="00603AD8"/>
    <w:rsid w:val="00603ADC"/>
    <w:rsid w:val="00603C7E"/>
    <w:rsid w:val="00603CD4"/>
    <w:rsid w:val="00604001"/>
    <w:rsid w:val="00604273"/>
    <w:rsid w:val="006043BD"/>
    <w:rsid w:val="006045DD"/>
    <w:rsid w:val="0060462F"/>
    <w:rsid w:val="00604825"/>
    <w:rsid w:val="00604B1B"/>
    <w:rsid w:val="00604BEE"/>
    <w:rsid w:val="00604C95"/>
    <w:rsid w:val="00604DDE"/>
    <w:rsid w:val="00604DFC"/>
    <w:rsid w:val="00604E8A"/>
    <w:rsid w:val="00604FCF"/>
    <w:rsid w:val="006050DB"/>
    <w:rsid w:val="006051B2"/>
    <w:rsid w:val="006051BE"/>
    <w:rsid w:val="0060527A"/>
    <w:rsid w:val="006056F8"/>
    <w:rsid w:val="00605A35"/>
    <w:rsid w:val="00605ACC"/>
    <w:rsid w:val="00605C4E"/>
    <w:rsid w:val="00605CC0"/>
    <w:rsid w:val="00605EF6"/>
    <w:rsid w:val="00605F49"/>
    <w:rsid w:val="0060615C"/>
    <w:rsid w:val="006061C2"/>
    <w:rsid w:val="006062FF"/>
    <w:rsid w:val="006063A4"/>
    <w:rsid w:val="00606749"/>
    <w:rsid w:val="0060679B"/>
    <w:rsid w:val="00606A67"/>
    <w:rsid w:val="00606B7A"/>
    <w:rsid w:val="00606C0A"/>
    <w:rsid w:val="00606E45"/>
    <w:rsid w:val="00606E6D"/>
    <w:rsid w:val="00606EBC"/>
    <w:rsid w:val="0060706C"/>
    <w:rsid w:val="0060710C"/>
    <w:rsid w:val="00607127"/>
    <w:rsid w:val="006078E3"/>
    <w:rsid w:val="00607A15"/>
    <w:rsid w:val="00607ADA"/>
    <w:rsid w:val="00607B6E"/>
    <w:rsid w:val="00607BDD"/>
    <w:rsid w:val="00607C14"/>
    <w:rsid w:val="00607CC0"/>
    <w:rsid w:val="00607DCF"/>
    <w:rsid w:val="006102B1"/>
    <w:rsid w:val="006106A7"/>
    <w:rsid w:val="00610BDB"/>
    <w:rsid w:val="00610C10"/>
    <w:rsid w:val="00610D81"/>
    <w:rsid w:val="00610EB0"/>
    <w:rsid w:val="00610FA2"/>
    <w:rsid w:val="00611002"/>
    <w:rsid w:val="006110B3"/>
    <w:rsid w:val="006111DE"/>
    <w:rsid w:val="00611215"/>
    <w:rsid w:val="0061132E"/>
    <w:rsid w:val="006116C3"/>
    <w:rsid w:val="0061193C"/>
    <w:rsid w:val="00611958"/>
    <w:rsid w:val="00611ABE"/>
    <w:rsid w:val="00611D5B"/>
    <w:rsid w:val="00611ECE"/>
    <w:rsid w:val="00611ED4"/>
    <w:rsid w:val="00611FF2"/>
    <w:rsid w:val="0061211D"/>
    <w:rsid w:val="006122ED"/>
    <w:rsid w:val="00612509"/>
    <w:rsid w:val="006125E1"/>
    <w:rsid w:val="0061265A"/>
    <w:rsid w:val="006127E9"/>
    <w:rsid w:val="00612881"/>
    <w:rsid w:val="00612A2B"/>
    <w:rsid w:val="00612A62"/>
    <w:rsid w:val="00612BC0"/>
    <w:rsid w:val="00612D8E"/>
    <w:rsid w:val="00612DC3"/>
    <w:rsid w:val="00612E51"/>
    <w:rsid w:val="00612FB9"/>
    <w:rsid w:val="006130A4"/>
    <w:rsid w:val="006130C2"/>
    <w:rsid w:val="006130E6"/>
    <w:rsid w:val="006130E9"/>
    <w:rsid w:val="006131A7"/>
    <w:rsid w:val="0061343D"/>
    <w:rsid w:val="006134D9"/>
    <w:rsid w:val="006136B2"/>
    <w:rsid w:val="0061386B"/>
    <w:rsid w:val="006139BB"/>
    <w:rsid w:val="00613C12"/>
    <w:rsid w:val="00613D3C"/>
    <w:rsid w:val="00613D83"/>
    <w:rsid w:val="00613DD1"/>
    <w:rsid w:val="00613DDD"/>
    <w:rsid w:val="0061424D"/>
    <w:rsid w:val="006142E9"/>
    <w:rsid w:val="006143C7"/>
    <w:rsid w:val="00614442"/>
    <w:rsid w:val="00614478"/>
    <w:rsid w:val="006145E3"/>
    <w:rsid w:val="006146D4"/>
    <w:rsid w:val="0061478A"/>
    <w:rsid w:val="006147A7"/>
    <w:rsid w:val="006147BD"/>
    <w:rsid w:val="00614AC4"/>
    <w:rsid w:val="00614AD5"/>
    <w:rsid w:val="00614CB0"/>
    <w:rsid w:val="00614D7D"/>
    <w:rsid w:val="00614F2B"/>
    <w:rsid w:val="00615250"/>
    <w:rsid w:val="0061559E"/>
    <w:rsid w:val="00615753"/>
    <w:rsid w:val="006157BF"/>
    <w:rsid w:val="006157C4"/>
    <w:rsid w:val="00615A5C"/>
    <w:rsid w:val="00615B8F"/>
    <w:rsid w:val="00615C77"/>
    <w:rsid w:val="00615D08"/>
    <w:rsid w:val="00615D0C"/>
    <w:rsid w:val="00615F52"/>
    <w:rsid w:val="00616074"/>
    <w:rsid w:val="006161AD"/>
    <w:rsid w:val="0061627D"/>
    <w:rsid w:val="006162AC"/>
    <w:rsid w:val="00616567"/>
    <w:rsid w:val="00616749"/>
    <w:rsid w:val="00616A3F"/>
    <w:rsid w:val="00616AC7"/>
    <w:rsid w:val="00616D38"/>
    <w:rsid w:val="00616DC9"/>
    <w:rsid w:val="00616ECA"/>
    <w:rsid w:val="0061702C"/>
    <w:rsid w:val="0061704B"/>
    <w:rsid w:val="00617121"/>
    <w:rsid w:val="006173C1"/>
    <w:rsid w:val="006173F6"/>
    <w:rsid w:val="006174D6"/>
    <w:rsid w:val="00617545"/>
    <w:rsid w:val="006176CE"/>
    <w:rsid w:val="006177CD"/>
    <w:rsid w:val="006178CB"/>
    <w:rsid w:val="006178CC"/>
    <w:rsid w:val="00617A09"/>
    <w:rsid w:val="00617D7A"/>
    <w:rsid w:val="00617EDC"/>
    <w:rsid w:val="00617F04"/>
    <w:rsid w:val="00617FA9"/>
    <w:rsid w:val="00620015"/>
    <w:rsid w:val="00620D22"/>
    <w:rsid w:val="00620D32"/>
    <w:rsid w:val="00620D6E"/>
    <w:rsid w:val="00620DBF"/>
    <w:rsid w:val="006210D9"/>
    <w:rsid w:val="006210E2"/>
    <w:rsid w:val="00621123"/>
    <w:rsid w:val="00621183"/>
    <w:rsid w:val="006211F9"/>
    <w:rsid w:val="00621228"/>
    <w:rsid w:val="00621396"/>
    <w:rsid w:val="00621407"/>
    <w:rsid w:val="006214CC"/>
    <w:rsid w:val="006215F0"/>
    <w:rsid w:val="00621684"/>
    <w:rsid w:val="00621738"/>
    <w:rsid w:val="0062188F"/>
    <w:rsid w:val="006218FB"/>
    <w:rsid w:val="00621953"/>
    <w:rsid w:val="0062195F"/>
    <w:rsid w:val="00621B20"/>
    <w:rsid w:val="00621B86"/>
    <w:rsid w:val="00621C05"/>
    <w:rsid w:val="00621C1D"/>
    <w:rsid w:val="00621E9F"/>
    <w:rsid w:val="0062207A"/>
    <w:rsid w:val="00622140"/>
    <w:rsid w:val="00622181"/>
    <w:rsid w:val="0062252A"/>
    <w:rsid w:val="0062268A"/>
    <w:rsid w:val="006228F9"/>
    <w:rsid w:val="00622A42"/>
    <w:rsid w:val="00622B07"/>
    <w:rsid w:val="00622C06"/>
    <w:rsid w:val="00622C3E"/>
    <w:rsid w:val="00623062"/>
    <w:rsid w:val="00623379"/>
    <w:rsid w:val="006233AD"/>
    <w:rsid w:val="00623434"/>
    <w:rsid w:val="006239D8"/>
    <w:rsid w:val="00623A2D"/>
    <w:rsid w:val="00623A82"/>
    <w:rsid w:val="00623CE2"/>
    <w:rsid w:val="00623CEB"/>
    <w:rsid w:val="00623E26"/>
    <w:rsid w:val="00623F7A"/>
    <w:rsid w:val="00623F8F"/>
    <w:rsid w:val="00624079"/>
    <w:rsid w:val="0062434D"/>
    <w:rsid w:val="0062440C"/>
    <w:rsid w:val="006245B9"/>
    <w:rsid w:val="00624663"/>
    <w:rsid w:val="006246B1"/>
    <w:rsid w:val="0062495D"/>
    <w:rsid w:val="006249C0"/>
    <w:rsid w:val="00624ADE"/>
    <w:rsid w:val="00624DF7"/>
    <w:rsid w:val="00624E7F"/>
    <w:rsid w:val="00624ED0"/>
    <w:rsid w:val="00624F6F"/>
    <w:rsid w:val="006250BA"/>
    <w:rsid w:val="006251AB"/>
    <w:rsid w:val="00625265"/>
    <w:rsid w:val="00625332"/>
    <w:rsid w:val="006253AC"/>
    <w:rsid w:val="006253F5"/>
    <w:rsid w:val="006255AB"/>
    <w:rsid w:val="00625642"/>
    <w:rsid w:val="006256E9"/>
    <w:rsid w:val="00625918"/>
    <w:rsid w:val="00625BEF"/>
    <w:rsid w:val="00625C0A"/>
    <w:rsid w:val="00625CB8"/>
    <w:rsid w:val="00625F4F"/>
    <w:rsid w:val="006260EC"/>
    <w:rsid w:val="00626588"/>
    <w:rsid w:val="00626616"/>
    <w:rsid w:val="006266A3"/>
    <w:rsid w:val="006269F1"/>
    <w:rsid w:val="00626A84"/>
    <w:rsid w:val="00626B1B"/>
    <w:rsid w:val="00626B88"/>
    <w:rsid w:val="00626DA8"/>
    <w:rsid w:val="00626E42"/>
    <w:rsid w:val="006272A4"/>
    <w:rsid w:val="006273F9"/>
    <w:rsid w:val="00627443"/>
    <w:rsid w:val="006274AE"/>
    <w:rsid w:val="006274C0"/>
    <w:rsid w:val="006276A5"/>
    <w:rsid w:val="00627865"/>
    <w:rsid w:val="00627B35"/>
    <w:rsid w:val="00627CC9"/>
    <w:rsid w:val="00630266"/>
    <w:rsid w:val="006304B6"/>
    <w:rsid w:val="006304BA"/>
    <w:rsid w:val="00630755"/>
    <w:rsid w:val="006307A2"/>
    <w:rsid w:val="006308CA"/>
    <w:rsid w:val="00630B10"/>
    <w:rsid w:val="00630BA8"/>
    <w:rsid w:val="00630C9E"/>
    <w:rsid w:val="00630CB6"/>
    <w:rsid w:val="00630D4E"/>
    <w:rsid w:val="00630D55"/>
    <w:rsid w:val="00630F69"/>
    <w:rsid w:val="00631115"/>
    <w:rsid w:val="00631222"/>
    <w:rsid w:val="006312FE"/>
    <w:rsid w:val="0063177F"/>
    <w:rsid w:val="00631883"/>
    <w:rsid w:val="006319A9"/>
    <w:rsid w:val="006319C4"/>
    <w:rsid w:val="00631A92"/>
    <w:rsid w:val="00631A9A"/>
    <w:rsid w:val="00631AC7"/>
    <w:rsid w:val="00631BBC"/>
    <w:rsid w:val="00631E1A"/>
    <w:rsid w:val="00631F2C"/>
    <w:rsid w:val="00631FAC"/>
    <w:rsid w:val="0063204F"/>
    <w:rsid w:val="00632067"/>
    <w:rsid w:val="00632161"/>
    <w:rsid w:val="006321BD"/>
    <w:rsid w:val="006323C0"/>
    <w:rsid w:val="0063259C"/>
    <w:rsid w:val="006325A2"/>
    <w:rsid w:val="00632721"/>
    <w:rsid w:val="006327E0"/>
    <w:rsid w:val="00632928"/>
    <w:rsid w:val="00632A64"/>
    <w:rsid w:val="00632EBB"/>
    <w:rsid w:val="0063365E"/>
    <w:rsid w:val="00633977"/>
    <w:rsid w:val="00633ADC"/>
    <w:rsid w:val="00633B9D"/>
    <w:rsid w:val="00633C40"/>
    <w:rsid w:val="00633CD8"/>
    <w:rsid w:val="00633D11"/>
    <w:rsid w:val="00634088"/>
    <w:rsid w:val="00634529"/>
    <w:rsid w:val="00634758"/>
    <w:rsid w:val="006347A0"/>
    <w:rsid w:val="00634C64"/>
    <w:rsid w:val="00634D46"/>
    <w:rsid w:val="00635027"/>
    <w:rsid w:val="00635182"/>
    <w:rsid w:val="006351B4"/>
    <w:rsid w:val="00635300"/>
    <w:rsid w:val="006353FC"/>
    <w:rsid w:val="006355A7"/>
    <w:rsid w:val="0063561D"/>
    <w:rsid w:val="0063582A"/>
    <w:rsid w:val="006359AA"/>
    <w:rsid w:val="00635ABC"/>
    <w:rsid w:val="00635AE3"/>
    <w:rsid w:val="00635BBC"/>
    <w:rsid w:val="00635C56"/>
    <w:rsid w:val="00635E58"/>
    <w:rsid w:val="00635F60"/>
    <w:rsid w:val="006361D5"/>
    <w:rsid w:val="00636371"/>
    <w:rsid w:val="00636466"/>
    <w:rsid w:val="006365D8"/>
    <w:rsid w:val="006366B5"/>
    <w:rsid w:val="00636935"/>
    <w:rsid w:val="006369E8"/>
    <w:rsid w:val="006369FD"/>
    <w:rsid w:val="00636A89"/>
    <w:rsid w:val="00636C2F"/>
    <w:rsid w:val="00636E96"/>
    <w:rsid w:val="00637058"/>
    <w:rsid w:val="006371D8"/>
    <w:rsid w:val="00637258"/>
    <w:rsid w:val="0063739C"/>
    <w:rsid w:val="00637490"/>
    <w:rsid w:val="00637897"/>
    <w:rsid w:val="006378F7"/>
    <w:rsid w:val="0063795A"/>
    <w:rsid w:val="00637BBB"/>
    <w:rsid w:val="00637E09"/>
    <w:rsid w:val="00637E57"/>
    <w:rsid w:val="00637E8E"/>
    <w:rsid w:val="00637E96"/>
    <w:rsid w:val="00640024"/>
    <w:rsid w:val="006404A6"/>
    <w:rsid w:val="00640592"/>
    <w:rsid w:val="00640607"/>
    <w:rsid w:val="006406A3"/>
    <w:rsid w:val="00640764"/>
    <w:rsid w:val="00640888"/>
    <w:rsid w:val="006408B7"/>
    <w:rsid w:val="006409A1"/>
    <w:rsid w:val="00640A59"/>
    <w:rsid w:val="00640A86"/>
    <w:rsid w:val="006410D5"/>
    <w:rsid w:val="00641119"/>
    <w:rsid w:val="00641153"/>
    <w:rsid w:val="00641203"/>
    <w:rsid w:val="006419BE"/>
    <w:rsid w:val="006419CD"/>
    <w:rsid w:val="00641B08"/>
    <w:rsid w:val="00641B7D"/>
    <w:rsid w:val="00641B84"/>
    <w:rsid w:val="00641BC6"/>
    <w:rsid w:val="00641EF6"/>
    <w:rsid w:val="0064208E"/>
    <w:rsid w:val="00642205"/>
    <w:rsid w:val="00642225"/>
    <w:rsid w:val="00642260"/>
    <w:rsid w:val="0064246A"/>
    <w:rsid w:val="0064248B"/>
    <w:rsid w:val="006425A2"/>
    <w:rsid w:val="006425A3"/>
    <w:rsid w:val="006426F6"/>
    <w:rsid w:val="0064271B"/>
    <w:rsid w:val="00642CA2"/>
    <w:rsid w:val="00642DA5"/>
    <w:rsid w:val="00642F2F"/>
    <w:rsid w:val="006430EE"/>
    <w:rsid w:val="00643216"/>
    <w:rsid w:val="0064325B"/>
    <w:rsid w:val="006435DB"/>
    <w:rsid w:val="0064364C"/>
    <w:rsid w:val="00643687"/>
    <w:rsid w:val="0064377B"/>
    <w:rsid w:val="00643863"/>
    <w:rsid w:val="0064397F"/>
    <w:rsid w:val="00643BC6"/>
    <w:rsid w:val="00643CE4"/>
    <w:rsid w:val="00643ECF"/>
    <w:rsid w:val="00643ED2"/>
    <w:rsid w:val="0064420D"/>
    <w:rsid w:val="0064429A"/>
    <w:rsid w:val="006442F9"/>
    <w:rsid w:val="006443EA"/>
    <w:rsid w:val="006443FD"/>
    <w:rsid w:val="00644763"/>
    <w:rsid w:val="0064476F"/>
    <w:rsid w:val="00644A52"/>
    <w:rsid w:val="00644AAB"/>
    <w:rsid w:val="00644DD0"/>
    <w:rsid w:val="00644DE6"/>
    <w:rsid w:val="00644DFF"/>
    <w:rsid w:val="00644E25"/>
    <w:rsid w:val="00644F37"/>
    <w:rsid w:val="00645072"/>
    <w:rsid w:val="0064528D"/>
    <w:rsid w:val="006453C4"/>
    <w:rsid w:val="00645498"/>
    <w:rsid w:val="006454B3"/>
    <w:rsid w:val="006457A8"/>
    <w:rsid w:val="006457AF"/>
    <w:rsid w:val="00645863"/>
    <w:rsid w:val="0064587D"/>
    <w:rsid w:val="00645AFA"/>
    <w:rsid w:val="00645B8E"/>
    <w:rsid w:val="00645C3F"/>
    <w:rsid w:val="00645E16"/>
    <w:rsid w:val="00645EF4"/>
    <w:rsid w:val="00645F13"/>
    <w:rsid w:val="00645F1D"/>
    <w:rsid w:val="00645FFF"/>
    <w:rsid w:val="00646024"/>
    <w:rsid w:val="00646117"/>
    <w:rsid w:val="006462EF"/>
    <w:rsid w:val="00646387"/>
    <w:rsid w:val="00646393"/>
    <w:rsid w:val="006463A1"/>
    <w:rsid w:val="006463A6"/>
    <w:rsid w:val="00646419"/>
    <w:rsid w:val="006464CB"/>
    <w:rsid w:val="006466C7"/>
    <w:rsid w:val="00646795"/>
    <w:rsid w:val="006468C8"/>
    <w:rsid w:val="00646969"/>
    <w:rsid w:val="00646A6D"/>
    <w:rsid w:val="00646BA7"/>
    <w:rsid w:val="00646BB1"/>
    <w:rsid w:val="00646BF8"/>
    <w:rsid w:val="00646F59"/>
    <w:rsid w:val="00647262"/>
    <w:rsid w:val="0064732F"/>
    <w:rsid w:val="00647376"/>
    <w:rsid w:val="0064765A"/>
    <w:rsid w:val="006476A6"/>
    <w:rsid w:val="00647725"/>
    <w:rsid w:val="006477FE"/>
    <w:rsid w:val="00647842"/>
    <w:rsid w:val="00647854"/>
    <w:rsid w:val="00647BB7"/>
    <w:rsid w:val="00647BBC"/>
    <w:rsid w:val="00647C9B"/>
    <w:rsid w:val="00647CB9"/>
    <w:rsid w:val="00647D1B"/>
    <w:rsid w:val="00647D84"/>
    <w:rsid w:val="00650016"/>
    <w:rsid w:val="00650585"/>
    <w:rsid w:val="0065061F"/>
    <w:rsid w:val="006508B4"/>
    <w:rsid w:val="00650919"/>
    <w:rsid w:val="00650EE4"/>
    <w:rsid w:val="0065107D"/>
    <w:rsid w:val="006510C5"/>
    <w:rsid w:val="00651105"/>
    <w:rsid w:val="006511F8"/>
    <w:rsid w:val="00651265"/>
    <w:rsid w:val="006512D9"/>
    <w:rsid w:val="00651387"/>
    <w:rsid w:val="006514A0"/>
    <w:rsid w:val="006514FE"/>
    <w:rsid w:val="0065157E"/>
    <w:rsid w:val="0065160F"/>
    <w:rsid w:val="0065163A"/>
    <w:rsid w:val="00651850"/>
    <w:rsid w:val="0065185E"/>
    <w:rsid w:val="0065187C"/>
    <w:rsid w:val="00651998"/>
    <w:rsid w:val="00651D71"/>
    <w:rsid w:val="00651E13"/>
    <w:rsid w:val="00651EAF"/>
    <w:rsid w:val="00652192"/>
    <w:rsid w:val="006521BC"/>
    <w:rsid w:val="006521D6"/>
    <w:rsid w:val="00652BB9"/>
    <w:rsid w:val="00652C0C"/>
    <w:rsid w:val="00652EDA"/>
    <w:rsid w:val="00652FA3"/>
    <w:rsid w:val="00652FDD"/>
    <w:rsid w:val="0065323A"/>
    <w:rsid w:val="00653330"/>
    <w:rsid w:val="006533D0"/>
    <w:rsid w:val="006534EB"/>
    <w:rsid w:val="0065355E"/>
    <w:rsid w:val="00653894"/>
    <w:rsid w:val="0065397F"/>
    <w:rsid w:val="00653C9A"/>
    <w:rsid w:val="00653DA9"/>
    <w:rsid w:val="00653DE8"/>
    <w:rsid w:val="00653E3F"/>
    <w:rsid w:val="00653E67"/>
    <w:rsid w:val="00653F9C"/>
    <w:rsid w:val="0065406B"/>
    <w:rsid w:val="00654175"/>
    <w:rsid w:val="0065424D"/>
    <w:rsid w:val="0065434E"/>
    <w:rsid w:val="0065448D"/>
    <w:rsid w:val="0065476E"/>
    <w:rsid w:val="00654885"/>
    <w:rsid w:val="006549F4"/>
    <w:rsid w:val="00654CB3"/>
    <w:rsid w:val="00655102"/>
    <w:rsid w:val="006551F7"/>
    <w:rsid w:val="0065526B"/>
    <w:rsid w:val="0065574F"/>
    <w:rsid w:val="00655799"/>
    <w:rsid w:val="006557F7"/>
    <w:rsid w:val="00655972"/>
    <w:rsid w:val="00655AA2"/>
    <w:rsid w:val="00655B56"/>
    <w:rsid w:val="00655BD6"/>
    <w:rsid w:val="00655D5C"/>
    <w:rsid w:val="00655F52"/>
    <w:rsid w:val="0065602E"/>
    <w:rsid w:val="0065609D"/>
    <w:rsid w:val="006560B7"/>
    <w:rsid w:val="006560C6"/>
    <w:rsid w:val="006560D6"/>
    <w:rsid w:val="006562D2"/>
    <w:rsid w:val="0065640B"/>
    <w:rsid w:val="006567D6"/>
    <w:rsid w:val="00656945"/>
    <w:rsid w:val="00656A0D"/>
    <w:rsid w:val="00656BFF"/>
    <w:rsid w:val="00656DC2"/>
    <w:rsid w:val="00656ED9"/>
    <w:rsid w:val="00656F15"/>
    <w:rsid w:val="00656F90"/>
    <w:rsid w:val="00656F92"/>
    <w:rsid w:val="00656FA8"/>
    <w:rsid w:val="0065715C"/>
    <w:rsid w:val="006574C4"/>
    <w:rsid w:val="006578CD"/>
    <w:rsid w:val="00657912"/>
    <w:rsid w:val="00657B6F"/>
    <w:rsid w:val="00657D6A"/>
    <w:rsid w:val="006600A6"/>
    <w:rsid w:val="00660188"/>
    <w:rsid w:val="006601A1"/>
    <w:rsid w:val="006601E4"/>
    <w:rsid w:val="00660314"/>
    <w:rsid w:val="006603C9"/>
    <w:rsid w:val="0066070D"/>
    <w:rsid w:val="00660877"/>
    <w:rsid w:val="00660A7B"/>
    <w:rsid w:val="00660AAC"/>
    <w:rsid w:val="00660BE9"/>
    <w:rsid w:val="00660BF9"/>
    <w:rsid w:val="00661774"/>
    <w:rsid w:val="0066184C"/>
    <w:rsid w:val="00661970"/>
    <w:rsid w:val="00661BC3"/>
    <w:rsid w:val="00661CE9"/>
    <w:rsid w:val="00661D22"/>
    <w:rsid w:val="00661D59"/>
    <w:rsid w:val="00661E45"/>
    <w:rsid w:val="00662228"/>
    <w:rsid w:val="006622DA"/>
    <w:rsid w:val="00662386"/>
    <w:rsid w:val="006624BC"/>
    <w:rsid w:val="0066256C"/>
    <w:rsid w:val="006625F8"/>
    <w:rsid w:val="006626C1"/>
    <w:rsid w:val="00662763"/>
    <w:rsid w:val="00662797"/>
    <w:rsid w:val="0066288A"/>
    <w:rsid w:val="00662A54"/>
    <w:rsid w:val="00662B14"/>
    <w:rsid w:val="00662BAE"/>
    <w:rsid w:val="00662BDD"/>
    <w:rsid w:val="00662C7B"/>
    <w:rsid w:val="00662CD9"/>
    <w:rsid w:val="00662D48"/>
    <w:rsid w:val="00662DD4"/>
    <w:rsid w:val="00662DD7"/>
    <w:rsid w:val="0066304E"/>
    <w:rsid w:val="0066324D"/>
    <w:rsid w:val="0066368B"/>
    <w:rsid w:val="006636FD"/>
    <w:rsid w:val="006637DC"/>
    <w:rsid w:val="00663C15"/>
    <w:rsid w:val="00663CA9"/>
    <w:rsid w:val="00663FA5"/>
    <w:rsid w:val="0066404E"/>
    <w:rsid w:val="00664108"/>
    <w:rsid w:val="00664201"/>
    <w:rsid w:val="006643AF"/>
    <w:rsid w:val="0066453B"/>
    <w:rsid w:val="00664623"/>
    <w:rsid w:val="0066472B"/>
    <w:rsid w:val="00664812"/>
    <w:rsid w:val="006649CF"/>
    <w:rsid w:val="00664A83"/>
    <w:rsid w:val="00664BB4"/>
    <w:rsid w:val="00664C97"/>
    <w:rsid w:val="00664EE6"/>
    <w:rsid w:val="00664EF4"/>
    <w:rsid w:val="00664F74"/>
    <w:rsid w:val="00664F8A"/>
    <w:rsid w:val="00665283"/>
    <w:rsid w:val="0066535E"/>
    <w:rsid w:val="006653BD"/>
    <w:rsid w:val="00665403"/>
    <w:rsid w:val="00665565"/>
    <w:rsid w:val="006655C5"/>
    <w:rsid w:val="0066563A"/>
    <w:rsid w:val="006656CA"/>
    <w:rsid w:val="006656D9"/>
    <w:rsid w:val="006659BA"/>
    <w:rsid w:val="00665A25"/>
    <w:rsid w:val="00665C5B"/>
    <w:rsid w:val="00665CDD"/>
    <w:rsid w:val="00665E8F"/>
    <w:rsid w:val="00665F54"/>
    <w:rsid w:val="00665FFC"/>
    <w:rsid w:val="0066610A"/>
    <w:rsid w:val="0066611C"/>
    <w:rsid w:val="006662FB"/>
    <w:rsid w:val="0066636A"/>
    <w:rsid w:val="006663DF"/>
    <w:rsid w:val="00666511"/>
    <w:rsid w:val="00666657"/>
    <w:rsid w:val="006668B5"/>
    <w:rsid w:val="00666ACB"/>
    <w:rsid w:val="00666AD8"/>
    <w:rsid w:val="00666CA8"/>
    <w:rsid w:val="00666D41"/>
    <w:rsid w:val="00666DBA"/>
    <w:rsid w:val="00666E85"/>
    <w:rsid w:val="00666F9E"/>
    <w:rsid w:val="00667410"/>
    <w:rsid w:val="006676C2"/>
    <w:rsid w:val="00667922"/>
    <w:rsid w:val="00667B21"/>
    <w:rsid w:val="00667CBB"/>
    <w:rsid w:val="00667CDC"/>
    <w:rsid w:val="00667FA4"/>
    <w:rsid w:val="00670254"/>
    <w:rsid w:val="006702E3"/>
    <w:rsid w:val="00670628"/>
    <w:rsid w:val="00670780"/>
    <w:rsid w:val="00670AF4"/>
    <w:rsid w:val="00670BA6"/>
    <w:rsid w:val="00670CB6"/>
    <w:rsid w:val="00670F24"/>
    <w:rsid w:val="00670F8D"/>
    <w:rsid w:val="00671172"/>
    <w:rsid w:val="006711A6"/>
    <w:rsid w:val="006714CA"/>
    <w:rsid w:val="0067162D"/>
    <w:rsid w:val="006717B8"/>
    <w:rsid w:val="00671900"/>
    <w:rsid w:val="00671911"/>
    <w:rsid w:val="00671919"/>
    <w:rsid w:val="00671A2D"/>
    <w:rsid w:val="00671A88"/>
    <w:rsid w:val="00672388"/>
    <w:rsid w:val="006724EB"/>
    <w:rsid w:val="006725BE"/>
    <w:rsid w:val="0067268D"/>
    <w:rsid w:val="00672CB2"/>
    <w:rsid w:val="00672D3F"/>
    <w:rsid w:val="00672FEE"/>
    <w:rsid w:val="006730F5"/>
    <w:rsid w:val="00673219"/>
    <w:rsid w:val="006732FC"/>
    <w:rsid w:val="0067331D"/>
    <w:rsid w:val="006733D0"/>
    <w:rsid w:val="00673412"/>
    <w:rsid w:val="006735E6"/>
    <w:rsid w:val="006735FC"/>
    <w:rsid w:val="00673661"/>
    <w:rsid w:val="006736BF"/>
    <w:rsid w:val="00673779"/>
    <w:rsid w:val="00673958"/>
    <w:rsid w:val="00673B4D"/>
    <w:rsid w:val="00673D49"/>
    <w:rsid w:val="00673FFE"/>
    <w:rsid w:val="006740B3"/>
    <w:rsid w:val="0067420C"/>
    <w:rsid w:val="00674266"/>
    <w:rsid w:val="006742E0"/>
    <w:rsid w:val="006745FC"/>
    <w:rsid w:val="0067466B"/>
    <w:rsid w:val="006746D7"/>
    <w:rsid w:val="00674757"/>
    <w:rsid w:val="00674AA6"/>
    <w:rsid w:val="00674B4A"/>
    <w:rsid w:val="00674B59"/>
    <w:rsid w:val="00674BDF"/>
    <w:rsid w:val="00674C8C"/>
    <w:rsid w:val="00674CD1"/>
    <w:rsid w:val="00674D9E"/>
    <w:rsid w:val="00675238"/>
    <w:rsid w:val="00675240"/>
    <w:rsid w:val="006752FC"/>
    <w:rsid w:val="006756B2"/>
    <w:rsid w:val="00675906"/>
    <w:rsid w:val="0067593B"/>
    <w:rsid w:val="006759CF"/>
    <w:rsid w:val="00675AE4"/>
    <w:rsid w:val="00675B65"/>
    <w:rsid w:val="00675D6E"/>
    <w:rsid w:val="00675E35"/>
    <w:rsid w:val="00675FAF"/>
    <w:rsid w:val="0067605F"/>
    <w:rsid w:val="006760EC"/>
    <w:rsid w:val="00676188"/>
    <w:rsid w:val="00676250"/>
    <w:rsid w:val="00676434"/>
    <w:rsid w:val="00676605"/>
    <w:rsid w:val="00676640"/>
    <w:rsid w:val="006766F0"/>
    <w:rsid w:val="00676704"/>
    <w:rsid w:val="00676749"/>
    <w:rsid w:val="0067681D"/>
    <w:rsid w:val="006768C9"/>
    <w:rsid w:val="00676923"/>
    <w:rsid w:val="00676B48"/>
    <w:rsid w:val="00676BC9"/>
    <w:rsid w:val="00676C6B"/>
    <w:rsid w:val="00676CC7"/>
    <w:rsid w:val="00676CD0"/>
    <w:rsid w:val="00676CE0"/>
    <w:rsid w:val="00676D1A"/>
    <w:rsid w:val="00676DA0"/>
    <w:rsid w:val="00677604"/>
    <w:rsid w:val="006776C9"/>
    <w:rsid w:val="00677774"/>
    <w:rsid w:val="006779BC"/>
    <w:rsid w:val="00677A88"/>
    <w:rsid w:val="00677CF6"/>
    <w:rsid w:val="006800D9"/>
    <w:rsid w:val="006805B2"/>
    <w:rsid w:val="0068069A"/>
    <w:rsid w:val="006806C2"/>
    <w:rsid w:val="00680828"/>
    <w:rsid w:val="006808E7"/>
    <w:rsid w:val="00680FF2"/>
    <w:rsid w:val="00681256"/>
    <w:rsid w:val="00681295"/>
    <w:rsid w:val="006812B6"/>
    <w:rsid w:val="006812BE"/>
    <w:rsid w:val="006812EA"/>
    <w:rsid w:val="006814ED"/>
    <w:rsid w:val="00681519"/>
    <w:rsid w:val="00681744"/>
    <w:rsid w:val="00681938"/>
    <w:rsid w:val="00681A71"/>
    <w:rsid w:val="00681A97"/>
    <w:rsid w:val="00681AB6"/>
    <w:rsid w:val="00681B0E"/>
    <w:rsid w:val="00681C91"/>
    <w:rsid w:val="00681DC2"/>
    <w:rsid w:val="00681E77"/>
    <w:rsid w:val="006820A9"/>
    <w:rsid w:val="006821E3"/>
    <w:rsid w:val="0068244A"/>
    <w:rsid w:val="006825C7"/>
    <w:rsid w:val="00682646"/>
    <w:rsid w:val="0068265C"/>
    <w:rsid w:val="00682814"/>
    <w:rsid w:val="00682A49"/>
    <w:rsid w:val="00682CBE"/>
    <w:rsid w:val="00682E2D"/>
    <w:rsid w:val="00682E88"/>
    <w:rsid w:val="00682F68"/>
    <w:rsid w:val="0068319B"/>
    <w:rsid w:val="0068337D"/>
    <w:rsid w:val="00683406"/>
    <w:rsid w:val="00683585"/>
    <w:rsid w:val="00683722"/>
    <w:rsid w:val="00683752"/>
    <w:rsid w:val="006837BF"/>
    <w:rsid w:val="006839E7"/>
    <w:rsid w:val="00683BA1"/>
    <w:rsid w:val="00683C2B"/>
    <w:rsid w:val="00683CAF"/>
    <w:rsid w:val="00683FC4"/>
    <w:rsid w:val="00684387"/>
    <w:rsid w:val="0068442C"/>
    <w:rsid w:val="00684431"/>
    <w:rsid w:val="00684449"/>
    <w:rsid w:val="006844F3"/>
    <w:rsid w:val="00684805"/>
    <w:rsid w:val="0068498F"/>
    <w:rsid w:val="006849A9"/>
    <w:rsid w:val="006849C6"/>
    <w:rsid w:val="00684B75"/>
    <w:rsid w:val="00684B86"/>
    <w:rsid w:val="00684D88"/>
    <w:rsid w:val="00684DA5"/>
    <w:rsid w:val="00684FF6"/>
    <w:rsid w:val="006850FD"/>
    <w:rsid w:val="00685137"/>
    <w:rsid w:val="00685150"/>
    <w:rsid w:val="006851DD"/>
    <w:rsid w:val="00685397"/>
    <w:rsid w:val="0068572E"/>
    <w:rsid w:val="006857D7"/>
    <w:rsid w:val="006857FD"/>
    <w:rsid w:val="0068583F"/>
    <w:rsid w:val="00685A4D"/>
    <w:rsid w:val="00685A63"/>
    <w:rsid w:val="00685B78"/>
    <w:rsid w:val="00685BF5"/>
    <w:rsid w:val="00685C88"/>
    <w:rsid w:val="00685C89"/>
    <w:rsid w:val="00685D0D"/>
    <w:rsid w:val="00685F65"/>
    <w:rsid w:val="00686058"/>
    <w:rsid w:val="0068609D"/>
    <w:rsid w:val="00686319"/>
    <w:rsid w:val="006866F1"/>
    <w:rsid w:val="006866F5"/>
    <w:rsid w:val="00686A48"/>
    <w:rsid w:val="00686A63"/>
    <w:rsid w:val="00686B57"/>
    <w:rsid w:val="00686E0E"/>
    <w:rsid w:val="00686E3B"/>
    <w:rsid w:val="006873BA"/>
    <w:rsid w:val="00687486"/>
    <w:rsid w:val="006874E8"/>
    <w:rsid w:val="006878F6"/>
    <w:rsid w:val="0068792C"/>
    <w:rsid w:val="0068796C"/>
    <w:rsid w:val="00687DFB"/>
    <w:rsid w:val="00687F9A"/>
    <w:rsid w:val="0069008A"/>
    <w:rsid w:val="00690108"/>
    <w:rsid w:val="006902C0"/>
    <w:rsid w:val="0069031F"/>
    <w:rsid w:val="0069041E"/>
    <w:rsid w:val="006905C3"/>
    <w:rsid w:val="006905E8"/>
    <w:rsid w:val="0069060B"/>
    <w:rsid w:val="00690972"/>
    <w:rsid w:val="00690D7F"/>
    <w:rsid w:val="00690DAF"/>
    <w:rsid w:val="00690E55"/>
    <w:rsid w:val="00690E8A"/>
    <w:rsid w:val="00690F58"/>
    <w:rsid w:val="00690FDC"/>
    <w:rsid w:val="006911B4"/>
    <w:rsid w:val="00691282"/>
    <w:rsid w:val="0069145B"/>
    <w:rsid w:val="00691521"/>
    <w:rsid w:val="00691542"/>
    <w:rsid w:val="006915F4"/>
    <w:rsid w:val="0069177E"/>
    <w:rsid w:val="00691968"/>
    <w:rsid w:val="006919DA"/>
    <w:rsid w:val="00691A28"/>
    <w:rsid w:val="00691D34"/>
    <w:rsid w:val="00691D47"/>
    <w:rsid w:val="00692057"/>
    <w:rsid w:val="0069222A"/>
    <w:rsid w:val="0069235F"/>
    <w:rsid w:val="0069246F"/>
    <w:rsid w:val="0069263B"/>
    <w:rsid w:val="00692657"/>
    <w:rsid w:val="00692A15"/>
    <w:rsid w:val="00692A9F"/>
    <w:rsid w:val="00692B5E"/>
    <w:rsid w:val="00692CCC"/>
    <w:rsid w:val="00692DCF"/>
    <w:rsid w:val="00692F2E"/>
    <w:rsid w:val="00692FFF"/>
    <w:rsid w:val="0069304D"/>
    <w:rsid w:val="00693189"/>
    <w:rsid w:val="00693246"/>
    <w:rsid w:val="0069349B"/>
    <w:rsid w:val="0069359C"/>
    <w:rsid w:val="006935BB"/>
    <w:rsid w:val="006935CF"/>
    <w:rsid w:val="00693628"/>
    <w:rsid w:val="006936DF"/>
    <w:rsid w:val="006937A5"/>
    <w:rsid w:val="006939A0"/>
    <w:rsid w:val="00693A93"/>
    <w:rsid w:val="00693D8A"/>
    <w:rsid w:val="00693F4C"/>
    <w:rsid w:val="00694023"/>
    <w:rsid w:val="00694350"/>
    <w:rsid w:val="006943AA"/>
    <w:rsid w:val="00694463"/>
    <w:rsid w:val="006945CC"/>
    <w:rsid w:val="00694874"/>
    <w:rsid w:val="006948FB"/>
    <w:rsid w:val="00694B05"/>
    <w:rsid w:val="00694C85"/>
    <w:rsid w:val="00694CAA"/>
    <w:rsid w:val="00694DE9"/>
    <w:rsid w:val="00694EBC"/>
    <w:rsid w:val="00694F35"/>
    <w:rsid w:val="00694FD8"/>
    <w:rsid w:val="006950AA"/>
    <w:rsid w:val="00695607"/>
    <w:rsid w:val="006957D0"/>
    <w:rsid w:val="00695844"/>
    <w:rsid w:val="00695924"/>
    <w:rsid w:val="00695B54"/>
    <w:rsid w:val="00695C76"/>
    <w:rsid w:val="00695CD6"/>
    <w:rsid w:val="00695D7E"/>
    <w:rsid w:val="00695E0A"/>
    <w:rsid w:val="00695EA3"/>
    <w:rsid w:val="00695FFE"/>
    <w:rsid w:val="00696069"/>
    <w:rsid w:val="00696228"/>
    <w:rsid w:val="00696265"/>
    <w:rsid w:val="006965E8"/>
    <w:rsid w:val="0069677E"/>
    <w:rsid w:val="006967D8"/>
    <w:rsid w:val="00696CC2"/>
    <w:rsid w:val="00696EB9"/>
    <w:rsid w:val="00696EE7"/>
    <w:rsid w:val="00696FA0"/>
    <w:rsid w:val="006972A0"/>
    <w:rsid w:val="00697411"/>
    <w:rsid w:val="006975DC"/>
    <w:rsid w:val="00697816"/>
    <w:rsid w:val="00697891"/>
    <w:rsid w:val="0069791D"/>
    <w:rsid w:val="00697AFE"/>
    <w:rsid w:val="00697BA9"/>
    <w:rsid w:val="00697C89"/>
    <w:rsid w:val="00697CC2"/>
    <w:rsid w:val="00697D79"/>
    <w:rsid w:val="00697E7B"/>
    <w:rsid w:val="00697F0B"/>
    <w:rsid w:val="006A0355"/>
    <w:rsid w:val="006A06E2"/>
    <w:rsid w:val="006A0730"/>
    <w:rsid w:val="006A084B"/>
    <w:rsid w:val="006A09A9"/>
    <w:rsid w:val="006A0A4A"/>
    <w:rsid w:val="006A0AD2"/>
    <w:rsid w:val="006A0B03"/>
    <w:rsid w:val="006A0B9E"/>
    <w:rsid w:val="006A0C1A"/>
    <w:rsid w:val="006A0F4D"/>
    <w:rsid w:val="006A1734"/>
    <w:rsid w:val="006A1809"/>
    <w:rsid w:val="006A183A"/>
    <w:rsid w:val="006A191C"/>
    <w:rsid w:val="006A19DC"/>
    <w:rsid w:val="006A1A7D"/>
    <w:rsid w:val="006A1B83"/>
    <w:rsid w:val="006A1BB7"/>
    <w:rsid w:val="006A1EC6"/>
    <w:rsid w:val="006A1F84"/>
    <w:rsid w:val="006A21D8"/>
    <w:rsid w:val="006A2320"/>
    <w:rsid w:val="006A254C"/>
    <w:rsid w:val="006A2632"/>
    <w:rsid w:val="006A263C"/>
    <w:rsid w:val="006A26F8"/>
    <w:rsid w:val="006A2817"/>
    <w:rsid w:val="006A2980"/>
    <w:rsid w:val="006A29E5"/>
    <w:rsid w:val="006A2A1C"/>
    <w:rsid w:val="006A2A7F"/>
    <w:rsid w:val="006A2C84"/>
    <w:rsid w:val="006A2CE6"/>
    <w:rsid w:val="006A2EA4"/>
    <w:rsid w:val="006A2FC9"/>
    <w:rsid w:val="006A307F"/>
    <w:rsid w:val="006A314B"/>
    <w:rsid w:val="006A341A"/>
    <w:rsid w:val="006A352F"/>
    <w:rsid w:val="006A3616"/>
    <w:rsid w:val="006A368E"/>
    <w:rsid w:val="006A3988"/>
    <w:rsid w:val="006A42A1"/>
    <w:rsid w:val="006A42BA"/>
    <w:rsid w:val="006A45AE"/>
    <w:rsid w:val="006A4675"/>
    <w:rsid w:val="006A4829"/>
    <w:rsid w:val="006A4888"/>
    <w:rsid w:val="006A4ABF"/>
    <w:rsid w:val="006A4B65"/>
    <w:rsid w:val="006A4BB2"/>
    <w:rsid w:val="006A4BCF"/>
    <w:rsid w:val="006A4DE6"/>
    <w:rsid w:val="006A4FF2"/>
    <w:rsid w:val="006A503E"/>
    <w:rsid w:val="006A5368"/>
    <w:rsid w:val="006A56E3"/>
    <w:rsid w:val="006A581F"/>
    <w:rsid w:val="006A595A"/>
    <w:rsid w:val="006A5B29"/>
    <w:rsid w:val="006A5B2C"/>
    <w:rsid w:val="006A5D80"/>
    <w:rsid w:val="006A5F1C"/>
    <w:rsid w:val="006A5FB5"/>
    <w:rsid w:val="006A5FEC"/>
    <w:rsid w:val="006A6299"/>
    <w:rsid w:val="006A6399"/>
    <w:rsid w:val="006A63C1"/>
    <w:rsid w:val="006A642E"/>
    <w:rsid w:val="006A653A"/>
    <w:rsid w:val="006A6599"/>
    <w:rsid w:val="006A671A"/>
    <w:rsid w:val="006A6938"/>
    <w:rsid w:val="006A6A47"/>
    <w:rsid w:val="006A6C29"/>
    <w:rsid w:val="006A6EAD"/>
    <w:rsid w:val="006A70A5"/>
    <w:rsid w:val="006A74F6"/>
    <w:rsid w:val="006A7611"/>
    <w:rsid w:val="006A7870"/>
    <w:rsid w:val="006A7909"/>
    <w:rsid w:val="006A7972"/>
    <w:rsid w:val="006A7B60"/>
    <w:rsid w:val="006A7C42"/>
    <w:rsid w:val="006A7C5B"/>
    <w:rsid w:val="006A7D72"/>
    <w:rsid w:val="006A7E15"/>
    <w:rsid w:val="006A7E6B"/>
    <w:rsid w:val="006A7E8B"/>
    <w:rsid w:val="006A7F91"/>
    <w:rsid w:val="006B024B"/>
    <w:rsid w:val="006B0514"/>
    <w:rsid w:val="006B057B"/>
    <w:rsid w:val="006B0645"/>
    <w:rsid w:val="006B0679"/>
    <w:rsid w:val="006B073B"/>
    <w:rsid w:val="006B07B8"/>
    <w:rsid w:val="006B0867"/>
    <w:rsid w:val="006B088C"/>
    <w:rsid w:val="006B08C8"/>
    <w:rsid w:val="006B0A8D"/>
    <w:rsid w:val="006B0B3B"/>
    <w:rsid w:val="006B0C0D"/>
    <w:rsid w:val="006B0C1B"/>
    <w:rsid w:val="006B0CF4"/>
    <w:rsid w:val="006B0EB3"/>
    <w:rsid w:val="006B0F11"/>
    <w:rsid w:val="006B0F18"/>
    <w:rsid w:val="006B10EE"/>
    <w:rsid w:val="006B114E"/>
    <w:rsid w:val="006B1286"/>
    <w:rsid w:val="006B12CF"/>
    <w:rsid w:val="006B13C1"/>
    <w:rsid w:val="006B1415"/>
    <w:rsid w:val="006B14B2"/>
    <w:rsid w:val="006B1552"/>
    <w:rsid w:val="006B15CF"/>
    <w:rsid w:val="006B15E4"/>
    <w:rsid w:val="006B167F"/>
    <w:rsid w:val="006B16FF"/>
    <w:rsid w:val="006B1798"/>
    <w:rsid w:val="006B1826"/>
    <w:rsid w:val="006B1A5C"/>
    <w:rsid w:val="006B1C3C"/>
    <w:rsid w:val="006B1C93"/>
    <w:rsid w:val="006B1D88"/>
    <w:rsid w:val="006B1DFC"/>
    <w:rsid w:val="006B1EA1"/>
    <w:rsid w:val="006B1ED8"/>
    <w:rsid w:val="006B1F74"/>
    <w:rsid w:val="006B2059"/>
    <w:rsid w:val="006B208A"/>
    <w:rsid w:val="006B20D9"/>
    <w:rsid w:val="006B21F1"/>
    <w:rsid w:val="006B2446"/>
    <w:rsid w:val="006B24FD"/>
    <w:rsid w:val="006B2550"/>
    <w:rsid w:val="006B2610"/>
    <w:rsid w:val="006B264D"/>
    <w:rsid w:val="006B2731"/>
    <w:rsid w:val="006B27D1"/>
    <w:rsid w:val="006B28C1"/>
    <w:rsid w:val="006B2C2F"/>
    <w:rsid w:val="006B2E59"/>
    <w:rsid w:val="006B2EC8"/>
    <w:rsid w:val="006B2EE7"/>
    <w:rsid w:val="006B2FB6"/>
    <w:rsid w:val="006B2FE7"/>
    <w:rsid w:val="006B303F"/>
    <w:rsid w:val="006B31A2"/>
    <w:rsid w:val="006B3266"/>
    <w:rsid w:val="006B3579"/>
    <w:rsid w:val="006B361A"/>
    <w:rsid w:val="006B3B7F"/>
    <w:rsid w:val="006B3BEC"/>
    <w:rsid w:val="006B3C0F"/>
    <w:rsid w:val="006B3DD0"/>
    <w:rsid w:val="006B3DD8"/>
    <w:rsid w:val="006B3ECF"/>
    <w:rsid w:val="006B401E"/>
    <w:rsid w:val="006B4065"/>
    <w:rsid w:val="006B41CD"/>
    <w:rsid w:val="006B424F"/>
    <w:rsid w:val="006B4499"/>
    <w:rsid w:val="006B44A3"/>
    <w:rsid w:val="006B468B"/>
    <w:rsid w:val="006B46F9"/>
    <w:rsid w:val="006B4889"/>
    <w:rsid w:val="006B4A16"/>
    <w:rsid w:val="006B4A53"/>
    <w:rsid w:val="006B4A72"/>
    <w:rsid w:val="006B4AE4"/>
    <w:rsid w:val="006B4C0A"/>
    <w:rsid w:val="006B4CDA"/>
    <w:rsid w:val="006B4F59"/>
    <w:rsid w:val="006B5066"/>
    <w:rsid w:val="006B5092"/>
    <w:rsid w:val="006B54A5"/>
    <w:rsid w:val="006B55C6"/>
    <w:rsid w:val="006B563E"/>
    <w:rsid w:val="006B5659"/>
    <w:rsid w:val="006B56A3"/>
    <w:rsid w:val="006B5885"/>
    <w:rsid w:val="006B588B"/>
    <w:rsid w:val="006B58C9"/>
    <w:rsid w:val="006B5B41"/>
    <w:rsid w:val="006B5B60"/>
    <w:rsid w:val="006B5C74"/>
    <w:rsid w:val="006B5D9A"/>
    <w:rsid w:val="006B5DEC"/>
    <w:rsid w:val="006B5E04"/>
    <w:rsid w:val="006B5FCF"/>
    <w:rsid w:val="006B6265"/>
    <w:rsid w:val="006B62BE"/>
    <w:rsid w:val="006B639D"/>
    <w:rsid w:val="006B669D"/>
    <w:rsid w:val="006B67BA"/>
    <w:rsid w:val="006B684B"/>
    <w:rsid w:val="006B6953"/>
    <w:rsid w:val="006B6982"/>
    <w:rsid w:val="006B6B39"/>
    <w:rsid w:val="006B6B4F"/>
    <w:rsid w:val="006B6D35"/>
    <w:rsid w:val="006B6DD4"/>
    <w:rsid w:val="006B6E7D"/>
    <w:rsid w:val="006B70FC"/>
    <w:rsid w:val="006B736C"/>
    <w:rsid w:val="006B74A5"/>
    <w:rsid w:val="006B74CF"/>
    <w:rsid w:val="006B761B"/>
    <w:rsid w:val="006B7759"/>
    <w:rsid w:val="006B77E4"/>
    <w:rsid w:val="006B791B"/>
    <w:rsid w:val="006B7934"/>
    <w:rsid w:val="006B7A1F"/>
    <w:rsid w:val="006B7FD1"/>
    <w:rsid w:val="006C0019"/>
    <w:rsid w:val="006C0050"/>
    <w:rsid w:val="006C00C6"/>
    <w:rsid w:val="006C015F"/>
    <w:rsid w:val="006C02F0"/>
    <w:rsid w:val="006C0327"/>
    <w:rsid w:val="006C03BC"/>
    <w:rsid w:val="006C04C2"/>
    <w:rsid w:val="006C0674"/>
    <w:rsid w:val="006C0715"/>
    <w:rsid w:val="006C077D"/>
    <w:rsid w:val="006C07C0"/>
    <w:rsid w:val="006C0850"/>
    <w:rsid w:val="006C0A6B"/>
    <w:rsid w:val="006C0AA3"/>
    <w:rsid w:val="006C0B73"/>
    <w:rsid w:val="006C0BA0"/>
    <w:rsid w:val="006C0EA9"/>
    <w:rsid w:val="006C0F84"/>
    <w:rsid w:val="006C0FCC"/>
    <w:rsid w:val="006C0FCE"/>
    <w:rsid w:val="006C129C"/>
    <w:rsid w:val="006C1448"/>
    <w:rsid w:val="006C14F7"/>
    <w:rsid w:val="006C1CB5"/>
    <w:rsid w:val="006C1DB6"/>
    <w:rsid w:val="006C1EB8"/>
    <w:rsid w:val="006C20EE"/>
    <w:rsid w:val="006C215D"/>
    <w:rsid w:val="006C21A8"/>
    <w:rsid w:val="006C21D7"/>
    <w:rsid w:val="006C2324"/>
    <w:rsid w:val="006C2484"/>
    <w:rsid w:val="006C250D"/>
    <w:rsid w:val="006C2616"/>
    <w:rsid w:val="006C273D"/>
    <w:rsid w:val="006C27D5"/>
    <w:rsid w:val="006C2A97"/>
    <w:rsid w:val="006C2BDE"/>
    <w:rsid w:val="006C2D53"/>
    <w:rsid w:val="006C2DA5"/>
    <w:rsid w:val="006C2E02"/>
    <w:rsid w:val="006C2E59"/>
    <w:rsid w:val="006C30D2"/>
    <w:rsid w:val="006C3647"/>
    <w:rsid w:val="006C364E"/>
    <w:rsid w:val="006C36B0"/>
    <w:rsid w:val="006C37B0"/>
    <w:rsid w:val="006C3B64"/>
    <w:rsid w:val="006C3EEF"/>
    <w:rsid w:val="006C3F19"/>
    <w:rsid w:val="006C3F8B"/>
    <w:rsid w:val="006C3FD3"/>
    <w:rsid w:val="006C40A7"/>
    <w:rsid w:val="006C4134"/>
    <w:rsid w:val="006C42D3"/>
    <w:rsid w:val="006C43DC"/>
    <w:rsid w:val="006C44C5"/>
    <w:rsid w:val="006C4790"/>
    <w:rsid w:val="006C4828"/>
    <w:rsid w:val="006C49CC"/>
    <w:rsid w:val="006C4A76"/>
    <w:rsid w:val="006C4AFC"/>
    <w:rsid w:val="006C4B01"/>
    <w:rsid w:val="006C4C36"/>
    <w:rsid w:val="006C4C79"/>
    <w:rsid w:val="006C4D2B"/>
    <w:rsid w:val="006C4FC0"/>
    <w:rsid w:val="006C507A"/>
    <w:rsid w:val="006C50DF"/>
    <w:rsid w:val="006C5224"/>
    <w:rsid w:val="006C54D0"/>
    <w:rsid w:val="006C562D"/>
    <w:rsid w:val="006C5842"/>
    <w:rsid w:val="006C5968"/>
    <w:rsid w:val="006C5978"/>
    <w:rsid w:val="006C5A4A"/>
    <w:rsid w:val="006C5B85"/>
    <w:rsid w:val="006C5BD9"/>
    <w:rsid w:val="006C5FFA"/>
    <w:rsid w:val="006C601D"/>
    <w:rsid w:val="006C603B"/>
    <w:rsid w:val="006C6040"/>
    <w:rsid w:val="006C628B"/>
    <w:rsid w:val="006C62B8"/>
    <w:rsid w:val="006C6468"/>
    <w:rsid w:val="006C64E9"/>
    <w:rsid w:val="006C6821"/>
    <w:rsid w:val="006C68E9"/>
    <w:rsid w:val="006C6B6C"/>
    <w:rsid w:val="006C6CC3"/>
    <w:rsid w:val="006C6D52"/>
    <w:rsid w:val="006C6E4F"/>
    <w:rsid w:val="006C6F57"/>
    <w:rsid w:val="006C700F"/>
    <w:rsid w:val="006C7087"/>
    <w:rsid w:val="006C719D"/>
    <w:rsid w:val="006C7656"/>
    <w:rsid w:val="006C770C"/>
    <w:rsid w:val="006C787B"/>
    <w:rsid w:val="006C78D1"/>
    <w:rsid w:val="006C79E3"/>
    <w:rsid w:val="006D00A5"/>
    <w:rsid w:val="006D0679"/>
    <w:rsid w:val="006D0812"/>
    <w:rsid w:val="006D0B43"/>
    <w:rsid w:val="006D0BF4"/>
    <w:rsid w:val="006D0C4D"/>
    <w:rsid w:val="006D0DB3"/>
    <w:rsid w:val="006D0EC5"/>
    <w:rsid w:val="006D0FAF"/>
    <w:rsid w:val="006D0FDB"/>
    <w:rsid w:val="006D120C"/>
    <w:rsid w:val="006D137D"/>
    <w:rsid w:val="006D1381"/>
    <w:rsid w:val="006D1681"/>
    <w:rsid w:val="006D1925"/>
    <w:rsid w:val="006D197F"/>
    <w:rsid w:val="006D1B30"/>
    <w:rsid w:val="006D1BFA"/>
    <w:rsid w:val="006D1C46"/>
    <w:rsid w:val="006D1DB6"/>
    <w:rsid w:val="006D1E71"/>
    <w:rsid w:val="006D21D9"/>
    <w:rsid w:val="006D21F6"/>
    <w:rsid w:val="006D2269"/>
    <w:rsid w:val="006D22A1"/>
    <w:rsid w:val="006D22F7"/>
    <w:rsid w:val="006D23F0"/>
    <w:rsid w:val="006D258D"/>
    <w:rsid w:val="006D274C"/>
    <w:rsid w:val="006D285A"/>
    <w:rsid w:val="006D29F2"/>
    <w:rsid w:val="006D2BEF"/>
    <w:rsid w:val="006D2D7B"/>
    <w:rsid w:val="006D2E07"/>
    <w:rsid w:val="006D2F10"/>
    <w:rsid w:val="006D300E"/>
    <w:rsid w:val="006D321B"/>
    <w:rsid w:val="006D3249"/>
    <w:rsid w:val="006D32E8"/>
    <w:rsid w:val="006D3417"/>
    <w:rsid w:val="006D381F"/>
    <w:rsid w:val="006D3845"/>
    <w:rsid w:val="006D3964"/>
    <w:rsid w:val="006D39E3"/>
    <w:rsid w:val="006D3DBA"/>
    <w:rsid w:val="006D3E3B"/>
    <w:rsid w:val="006D4426"/>
    <w:rsid w:val="006D44E1"/>
    <w:rsid w:val="006D45EF"/>
    <w:rsid w:val="006D4753"/>
    <w:rsid w:val="006D47B2"/>
    <w:rsid w:val="006D48F0"/>
    <w:rsid w:val="006D49EF"/>
    <w:rsid w:val="006D4A2A"/>
    <w:rsid w:val="006D4AF8"/>
    <w:rsid w:val="006D4D64"/>
    <w:rsid w:val="006D4ECF"/>
    <w:rsid w:val="006D4FC9"/>
    <w:rsid w:val="006D517D"/>
    <w:rsid w:val="006D523E"/>
    <w:rsid w:val="006D5582"/>
    <w:rsid w:val="006D569C"/>
    <w:rsid w:val="006D58EF"/>
    <w:rsid w:val="006D5935"/>
    <w:rsid w:val="006D59C8"/>
    <w:rsid w:val="006D59DF"/>
    <w:rsid w:val="006D59EF"/>
    <w:rsid w:val="006D5BEC"/>
    <w:rsid w:val="006D5DFE"/>
    <w:rsid w:val="006D5E45"/>
    <w:rsid w:val="006D610B"/>
    <w:rsid w:val="006D618D"/>
    <w:rsid w:val="006D6224"/>
    <w:rsid w:val="006D6285"/>
    <w:rsid w:val="006D63BA"/>
    <w:rsid w:val="006D6406"/>
    <w:rsid w:val="006D6506"/>
    <w:rsid w:val="006D6565"/>
    <w:rsid w:val="006D65E6"/>
    <w:rsid w:val="006D6679"/>
    <w:rsid w:val="006D68AC"/>
    <w:rsid w:val="006D693D"/>
    <w:rsid w:val="006D69AE"/>
    <w:rsid w:val="006D6A47"/>
    <w:rsid w:val="006D6DA4"/>
    <w:rsid w:val="006D6DAC"/>
    <w:rsid w:val="006D6DE8"/>
    <w:rsid w:val="006D6FFF"/>
    <w:rsid w:val="006D70DF"/>
    <w:rsid w:val="006D72A2"/>
    <w:rsid w:val="006D74A0"/>
    <w:rsid w:val="006D77E3"/>
    <w:rsid w:val="006D7846"/>
    <w:rsid w:val="006D798C"/>
    <w:rsid w:val="006D7A29"/>
    <w:rsid w:val="006D7A83"/>
    <w:rsid w:val="006D7EB5"/>
    <w:rsid w:val="006D7F4A"/>
    <w:rsid w:val="006E0026"/>
    <w:rsid w:val="006E01A1"/>
    <w:rsid w:val="006E0288"/>
    <w:rsid w:val="006E029D"/>
    <w:rsid w:val="006E031E"/>
    <w:rsid w:val="006E05E4"/>
    <w:rsid w:val="006E0671"/>
    <w:rsid w:val="006E08EF"/>
    <w:rsid w:val="006E09CB"/>
    <w:rsid w:val="006E0C8F"/>
    <w:rsid w:val="006E0EA9"/>
    <w:rsid w:val="006E0FBA"/>
    <w:rsid w:val="006E1122"/>
    <w:rsid w:val="006E12C2"/>
    <w:rsid w:val="006E13F2"/>
    <w:rsid w:val="006E14DB"/>
    <w:rsid w:val="006E1608"/>
    <w:rsid w:val="006E16EC"/>
    <w:rsid w:val="006E1817"/>
    <w:rsid w:val="006E1CA4"/>
    <w:rsid w:val="006E1E13"/>
    <w:rsid w:val="006E2251"/>
    <w:rsid w:val="006E2300"/>
    <w:rsid w:val="006E251A"/>
    <w:rsid w:val="006E252B"/>
    <w:rsid w:val="006E2817"/>
    <w:rsid w:val="006E288C"/>
    <w:rsid w:val="006E2A95"/>
    <w:rsid w:val="006E2E65"/>
    <w:rsid w:val="006E3026"/>
    <w:rsid w:val="006E3060"/>
    <w:rsid w:val="006E31B9"/>
    <w:rsid w:val="006E3258"/>
    <w:rsid w:val="006E32A7"/>
    <w:rsid w:val="006E32F2"/>
    <w:rsid w:val="006E33F1"/>
    <w:rsid w:val="006E3437"/>
    <w:rsid w:val="006E34A6"/>
    <w:rsid w:val="006E3855"/>
    <w:rsid w:val="006E399E"/>
    <w:rsid w:val="006E399F"/>
    <w:rsid w:val="006E3B20"/>
    <w:rsid w:val="006E3C94"/>
    <w:rsid w:val="006E3F60"/>
    <w:rsid w:val="006E3F68"/>
    <w:rsid w:val="006E409A"/>
    <w:rsid w:val="006E4191"/>
    <w:rsid w:val="006E419E"/>
    <w:rsid w:val="006E4316"/>
    <w:rsid w:val="006E4326"/>
    <w:rsid w:val="006E4465"/>
    <w:rsid w:val="006E4494"/>
    <w:rsid w:val="006E454D"/>
    <w:rsid w:val="006E4719"/>
    <w:rsid w:val="006E4957"/>
    <w:rsid w:val="006E4C30"/>
    <w:rsid w:val="006E4D3A"/>
    <w:rsid w:val="006E5001"/>
    <w:rsid w:val="006E50EF"/>
    <w:rsid w:val="006E51E8"/>
    <w:rsid w:val="006E523E"/>
    <w:rsid w:val="006E532A"/>
    <w:rsid w:val="006E5365"/>
    <w:rsid w:val="006E53F0"/>
    <w:rsid w:val="006E55CF"/>
    <w:rsid w:val="006E5888"/>
    <w:rsid w:val="006E5909"/>
    <w:rsid w:val="006E5B32"/>
    <w:rsid w:val="006E5CDD"/>
    <w:rsid w:val="006E5F1B"/>
    <w:rsid w:val="006E6075"/>
    <w:rsid w:val="006E6174"/>
    <w:rsid w:val="006E6196"/>
    <w:rsid w:val="006E61D2"/>
    <w:rsid w:val="006E62B4"/>
    <w:rsid w:val="006E6537"/>
    <w:rsid w:val="006E667C"/>
    <w:rsid w:val="006E6744"/>
    <w:rsid w:val="006E6A88"/>
    <w:rsid w:val="006E6DB0"/>
    <w:rsid w:val="006E6F95"/>
    <w:rsid w:val="006E7238"/>
    <w:rsid w:val="006E76DB"/>
    <w:rsid w:val="006E7767"/>
    <w:rsid w:val="006E77AF"/>
    <w:rsid w:val="006E77C9"/>
    <w:rsid w:val="006E78C9"/>
    <w:rsid w:val="006E7A5F"/>
    <w:rsid w:val="006E7AE2"/>
    <w:rsid w:val="006E7B42"/>
    <w:rsid w:val="006E7FC1"/>
    <w:rsid w:val="006F03CA"/>
    <w:rsid w:val="006F04A5"/>
    <w:rsid w:val="006F0723"/>
    <w:rsid w:val="006F0840"/>
    <w:rsid w:val="006F08CD"/>
    <w:rsid w:val="006F0995"/>
    <w:rsid w:val="006F0AF8"/>
    <w:rsid w:val="006F0DE2"/>
    <w:rsid w:val="006F0F24"/>
    <w:rsid w:val="006F0FA2"/>
    <w:rsid w:val="006F10C2"/>
    <w:rsid w:val="006F1264"/>
    <w:rsid w:val="006F1542"/>
    <w:rsid w:val="006F1616"/>
    <w:rsid w:val="006F1908"/>
    <w:rsid w:val="006F1931"/>
    <w:rsid w:val="006F1BCF"/>
    <w:rsid w:val="006F1D27"/>
    <w:rsid w:val="006F1D86"/>
    <w:rsid w:val="006F1E35"/>
    <w:rsid w:val="006F1EC1"/>
    <w:rsid w:val="006F1F62"/>
    <w:rsid w:val="006F2062"/>
    <w:rsid w:val="006F20D2"/>
    <w:rsid w:val="006F2163"/>
    <w:rsid w:val="006F2325"/>
    <w:rsid w:val="006F26CC"/>
    <w:rsid w:val="006F27AB"/>
    <w:rsid w:val="006F289F"/>
    <w:rsid w:val="006F2A0E"/>
    <w:rsid w:val="006F2A78"/>
    <w:rsid w:val="006F2D69"/>
    <w:rsid w:val="006F36D7"/>
    <w:rsid w:val="006F37F2"/>
    <w:rsid w:val="006F3947"/>
    <w:rsid w:val="006F39FD"/>
    <w:rsid w:val="006F3A5E"/>
    <w:rsid w:val="006F3C52"/>
    <w:rsid w:val="006F3E69"/>
    <w:rsid w:val="006F3F03"/>
    <w:rsid w:val="006F3FE7"/>
    <w:rsid w:val="006F402D"/>
    <w:rsid w:val="006F42FC"/>
    <w:rsid w:val="006F4379"/>
    <w:rsid w:val="006F4505"/>
    <w:rsid w:val="006F4686"/>
    <w:rsid w:val="006F4688"/>
    <w:rsid w:val="006F4700"/>
    <w:rsid w:val="006F4A8A"/>
    <w:rsid w:val="006F4AED"/>
    <w:rsid w:val="006F4BE8"/>
    <w:rsid w:val="006F4D3C"/>
    <w:rsid w:val="006F4D44"/>
    <w:rsid w:val="006F4F2D"/>
    <w:rsid w:val="006F4F64"/>
    <w:rsid w:val="006F5009"/>
    <w:rsid w:val="006F5031"/>
    <w:rsid w:val="006F5684"/>
    <w:rsid w:val="006F56D6"/>
    <w:rsid w:val="006F576E"/>
    <w:rsid w:val="006F590E"/>
    <w:rsid w:val="006F593E"/>
    <w:rsid w:val="006F59B1"/>
    <w:rsid w:val="006F59C4"/>
    <w:rsid w:val="006F59FE"/>
    <w:rsid w:val="006F5A3D"/>
    <w:rsid w:val="006F5AC2"/>
    <w:rsid w:val="006F5CE0"/>
    <w:rsid w:val="006F5D0A"/>
    <w:rsid w:val="006F5ECD"/>
    <w:rsid w:val="006F60DC"/>
    <w:rsid w:val="006F61E9"/>
    <w:rsid w:val="006F61FF"/>
    <w:rsid w:val="006F65BD"/>
    <w:rsid w:val="006F694A"/>
    <w:rsid w:val="006F6A52"/>
    <w:rsid w:val="006F6B64"/>
    <w:rsid w:val="006F6D1F"/>
    <w:rsid w:val="006F6E6D"/>
    <w:rsid w:val="006F7155"/>
    <w:rsid w:val="006F746D"/>
    <w:rsid w:val="006F7729"/>
    <w:rsid w:val="006F785F"/>
    <w:rsid w:val="006F7928"/>
    <w:rsid w:val="006F796C"/>
    <w:rsid w:val="006F79E2"/>
    <w:rsid w:val="006F7A26"/>
    <w:rsid w:val="006F7BCB"/>
    <w:rsid w:val="006F7D1D"/>
    <w:rsid w:val="006F7D74"/>
    <w:rsid w:val="006F7F0A"/>
    <w:rsid w:val="007000D3"/>
    <w:rsid w:val="007000FA"/>
    <w:rsid w:val="00700344"/>
    <w:rsid w:val="00700559"/>
    <w:rsid w:val="007005D6"/>
    <w:rsid w:val="00700C6F"/>
    <w:rsid w:val="00700D52"/>
    <w:rsid w:val="00700F1A"/>
    <w:rsid w:val="00701115"/>
    <w:rsid w:val="0070117B"/>
    <w:rsid w:val="007012AB"/>
    <w:rsid w:val="007012E5"/>
    <w:rsid w:val="007013F2"/>
    <w:rsid w:val="0070144F"/>
    <w:rsid w:val="00701505"/>
    <w:rsid w:val="007016C8"/>
    <w:rsid w:val="0070177C"/>
    <w:rsid w:val="00701C4A"/>
    <w:rsid w:val="00701D2E"/>
    <w:rsid w:val="00701D3E"/>
    <w:rsid w:val="00701E12"/>
    <w:rsid w:val="007020DE"/>
    <w:rsid w:val="007022EC"/>
    <w:rsid w:val="007024FB"/>
    <w:rsid w:val="007025AC"/>
    <w:rsid w:val="007025D5"/>
    <w:rsid w:val="007026B2"/>
    <w:rsid w:val="0070283A"/>
    <w:rsid w:val="00702CA6"/>
    <w:rsid w:val="00702CBE"/>
    <w:rsid w:val="00702F69"/>
    <w:rsid w:val="00703133"/>
    <w:rsid w:val="007032B7"/>
    <w:rsid w:val="0070331C"/>
    <w:rsid w:val="007033EA"/>
    <w:rsid w:val="0070340A"/>
    <w:rsid w:val="00703584"/>
    <w:rsid w:val="00703AE0"/>
    <w:rsid w:val="00703B26"/>
    <w:rsid w:val="00703CB9"/>
    <w:rsid w:val="00703D20"/>
    <w:rsid w:val="00703D2E"/>
    <w:rsid w:val="00704064"/>
    <w:rsid w:val="00704217"/>
    <w:rsid w:val="0070422F"/>
    <w:rsid w:val="00704305"/>
    <w:rsid w:val="007043F0"/>
    <w:rsid w:val="0070442C"/>
    <w:rsid w:val="007045A5"/>
    <w:rsid w:val="00704607"/>
    <w:rsid w:val="00704881"/>
    <w:rsid w:val="00704951"/>
    <w:rsid w:val="0070499B"/>
    <w:rsid w:val="00704A17"/>
    <w:rsid w:val="00704A68"/>
    <w:rsid w:val="00704C27"/>
    <w:rsid w:val="00704DFD"/>
    <w:rsid w:val="00704E09"/>
    <w:rsid w:val="00704E49"/>
    <w:rsid w:val="00704E70"/>
    <w:rsid w:val="00704F5B"/>
    <w:rsid w:val="00705097"/>
    <w:rsid w:val="007050A0"/>
    <w:rsid w:val="0070552F"/>
    <w:rsid w:val="007056AF"/>
    <w:rsid w:val="007057DF"/>
    <w:rsid w:val="00705AE8"/>
    <w:rsid w:val="00705E9F"/>
    <w:rsid w:val="007061AF"/>
    <w:rsid w:val="007064E5"/>
    <w:rsid w:val="0070676C"/>
    <w:rsid w:val="00706773"/>
    <w:rsid w:val="0070691F"/>
    <w:rsid w:val="00706D65"/>
    <w:rsid w:val="00706E42"/>
    <w:rsid w:val="00706ED6"/>
    <w:rsid w:val="00706FBA"/>
    <w:rsid w:val="00707218"/>
    <w:rsid w:val="00707225"/>
    <w:rsid w:val="0070737D"/>
    <w:rsid w:val="00707549"/>
    <w:rsid w:val="00707603"/>
    <w:rsid w:val="0070773B"/>
    <w:rsid w:val="0070784F"/>
    <w:rsid w:val="00707FB3"/>
    <w:rsid w:val="00707FFB"/>
    <w:rsid w:val="007102C7"/>
    <w:rsid w:val="007103F7"/>
    <w:rsid w:val="00710450"/>
    <w:rsid w:val="00710498"/>
    <w:rsid w:val="007107E1"/>
    <w:rsid w:val="007107ED"/>
    <w:rsid w:val="0071086C"/>
    <w:rsid w:val="007108CF"/>
    <w:rsid w:val="00710938"/>
    <w:rsid w:val="00710962"/>
    <w:rsid w:val="00710A1A"/>
    <w:rsid w:val="00710BD6"/>
    <w:rsid w:val="00710C32"/>
    <w:rsid w:val="00710D8C"/>
    <w:rsid w:val="00710E26"/>
    <w:rsid w:val="00710E6E"/>
    <w:rsid w:val="00710E8A"/>
    <w:rsid w:val="00710EA2"/>
    <w:rsid w:val="00711076"/>
    <w:rsid w:val="007111D4"/>
    <w:rsid w:val="0071121B"/>
    <w:rsid w:val="007112B9"/>
    <w:rsid w:val="007112E6"/>
    <w:rsid w:val="00711492"/>
    <w:rsid w:val="007115D5"/>
    <w:rsid w:val="00711626"/>
    <w:rsid w:val="00711C29"/>
    <w:rsid w:val="00711CBB"/>
    <w:rsid w:val="00711CD8"/>
    <w:rsid w:val="00711E0A"/>
    <w:rsid w:val="00711F33"/>
    <w:rsid w:val="00711F5E"/>
    <w:rsid w:val="00712033"/>
    <w:rsid w:val="00712180"/>
    <w:rsid w:val="007121B1"/>
    <w:rsid w:val="007121ED"/>
    <w:rsid w:val="00712572"/>
    <w:rsid w:val="00712608"/>
    <w:rsid w:val="00712676"/>
    <w:rsid w:val="00712760"/>
    <w:rsid w:val="0071290F"/>
    <w:rsid w:val="00712B72"/>
    <w:rsid w:val="00712C33"/>
    <w:rsid w:val="00712DC9"/>
    <w:rsid w:val="00712E1C"/>
    <w:rsid w:val="00712F57"/>
    <w:rsid w:val="0071301F"/>
    <w:rsid w:val="0071304E"/>
    <w:rsid w:val="0071321F"/>
    <w:rsid w:val="0071335D"/>
    <w:rsid w:val="007133CF"/>
    <w:rsid w:val="007135B8"/>
    <w:rsid w:val="00713723"/>
    <w:rsid w:val="00713A45"/>
    <w:rsid w:val="00713A84"/>
    <w:rsid w:val="00713D5F"/>
    <w:rsid w:val="00713DB8"/>
    <w:rsid w:val="00713DC4"/>
    <w:rsid w:val="00713E64"/>
    <w:rsid w:val="00713EE7"/>
    <w:rsid w:val="00713FF8"/>
    <w:rsid w:val="0071421E"/>
    <w:rsid w:val="007142D9"/>
    <w:rsid w:val="00714321"/>
    <w:rsid w:val="007143F7"/>
    <w:rsid w:val="007144A6"/>
    <w:rsid w:val="007144D9"/>
    <w:rsid w:val="0071459B"/>
    <w:rsid w:val="00714647"/>
    <w:rsid w:val="00714717"/>
    <w:rsid w:val="00714868"/>
    <w:rsid w:val="0071499B"/>
    <w:rsid w:val="00714A16"/>
    <w:rsid w:val="00714AC1"/>
    <w:rsid w:val="00714BE3"/>
    <w:rsid w:val="00714D3B"/>
    <w:rsid w:val="00714D3E"/>
    <w:rsid w:val="00715235"/>
    <w:rsid w:val="007152A2"/>
    <w:rsid w:val="00715369"/>
    <w:rsid w:val="00715371"/>
    <w:rsid w:val="007153B4"/>
    <w:rsid w:val="007156A8"/>
    <w:rsid w:val="007156AE"/>
    <w:rsid w:val="0071587E"/>
    <w:rsid w:val="00715956"/>
    <w:rsid w:val="00715B77"/>
    <w:rsid w:val="00715BBB"/>
    <w:rsid w:val="00715C19"/>
    <w:rsid w:val="00715D84"/>
    <w:rsid w:val="00715E9F"/>
    <w:rsid w:val="00716090"/>
    <w:rsid w:val="0071624F"/>
    <w:rsid w:val="00716330"/>
    <w:rsid w:val="0071633A"/>
    <w:rsid w:val="0071639E"/>
    <w:rsid w:val="00716559"/>
    <w:rsid w:val="007168E1"/>
    <w:rsid w:val="00716934"/>
    <w:rsid w:val="00716A8F"/>
    <w:rsid w:val="00716AF0"/>
    <w:rsid w:val="00717070"/>
    <w:rsid w:val="00717259"/>
    <w:rsid w:val="00717504"/>
    <w:rsid w:val="0071750C"/>
    <w:rsid w:val="0071753D"/>
    <w:rsid w:val="00717596"/>
    <w:rsid w:val="00717801"/>
    <w:rsid w:val="00717917"/>
    <w:rsid w:val="00717920"/>
    <w:rsid w:val="00717B02"/>
    <w:rsid w:val="00717B3C"/>
    <w:rsid w:val="00717D88"/>
    <w:rsid w:val="00717DB6"/>
    <w:rsid w:val="00717FD2"/>
    <w:rsid w:val="00720182"/>
    <w:rsid w:val="0072033C"/>
    <w:rsid w:val="0072070B"/>
    <w:rsid w:val="007208C1"/>
    <w:rsid w:val="0072098F"/>
    <w:rsid w:val="00720A5E"/>
    <w:rsid w:val="00720D49"/>
    <w:rsid w:val="00720DB1"/>
    <w:rsid w:val="00720DB5"/>
    <w:rsid w:val="00720EFF"/>
    <w:rsid w:val="00720F19"/>
    <w:rsid w:val="007215DD"/>
    <w:rsid w:val="00721666"/>
    <w:rsid w:val="007219EA"/>
    <w:rsid w:val="00721BBA"/>
    <w:rsid w:val="00721CB0"/>
    <w:rsid w:val="00721F41"/>
    <w:rsid w:val="00722038"/>
    <w:rsid w:val="0072222C"/>
    <w:rsid w:val="0072238B"/>
    <w:rsid w:val="0072251C"/>
    <w:rsid w:val="0072256D"/>
    <w:rsid w:val="00722591"/>
    <w:rsid w:val="0072264D"/>
    <w:rsid w:val="007229CB"/>
    <w:rsid w:val="007229FC"/>
    <w:rsid w:val="00722D0F"/>
    <w:rsid w:val="00722D65"/>
    <w:rsid w:val="00722D8F"/>
    <w:rsid w:val="00722D97"/>
    <w:rsid w:val="00722ECD"/>
    <w:rsid w:val="00723338"/>
    <w:rsid w:val="007236F2"/>
    <w:rsid w:val="00723754"/>
    <w:rsid w:val="0072380E"/>
    <w:rsid w:val="00723BFF"/>
    <w:rsid w:val="00723C31"/>
    <w:rsid w:val="00723D42"/>
    <w:rsid w:val="00723EED"/>
    <w:rsid w:val="007241D2"/>
    <w:rsid w:val="007242A4"/>
    <w:rsid w:val="00724499"/>
    <w:rsid w:val="00724502"/>
    <w:rsid w:val="007245AB"/>
    <w:rsid w:val="007245D5"/>
    <w:rsid w:val="00724696"/>
    <w:rsid w:val="007246A6"/>
    <w:rsid w:val="00724931"/>
    <w:rsid w:val="00724ABD"/>
    <w:rsid w:val="00724C01"/>
    <w:rsid w:val="0072503E"/>
    <w:rsid w:val="0072512F"/>
    <w:rsid w:val="00725132"/>
    <w:rsid w:val="0072528C"/>
    <w:rsid w:val="00725312"/>
    <w:rsid w:val="0072549B"/>
    <w:rsid w:val="00725749"/>
    <w:rsid w:val="00725983"/>
    <w:rsid w:val="00725A8C"/>
    <w:rsid w:val="00725B7A"/>
    <w:rsid w:val="00725C0B"/>
    <w:rsid w:val="00725C92"/>
    <w:rsid w:val="00725F1C"/>
    <w:rsid w:val="00725F40"/>
    <w:rsid w:val="0072605A"/>
    <w:rsid w:val="007262EA"/>
    <w:rsid w:val="0072636C"/>
    <w:rsid w:val="007264F9"/>
    <w:rsid w:val="007267C5"/>
    <w:rsid w:val="007267E3"/>
    <w:rsid w:val="0072689B"/>
    <w:rsid w:val="00726A26"/>
    <w:rsid w:val="00726A45"/>
    <w:rsid w:val="00726B3A"/>
    <w:rsid w:val="00726CE7"/>
    <w:rsid w:val="00726D05"/>
    <w:rsid w:val="00726DA2"/>
    <w:rsid w:val="00726E4C"/>
    <w:rsid w:val="00726E6C"/>
    <w:rsid w:val="00726F8B"/>
    <w:rsid w:val="00727152"/>
    <w:rsid w:val="007273F1"/>
    <w:rsid w:val="007274C3"/>
    <w:rsid w:val="007275C9"/>
    <w:rsid w:val="0072775C"/>
    <w:rsid w:val="007277AD"/>
    <w:rsid w:val="00727904"/>
    <w:rsid w:val="007279A0"/>
    <w:rsid w:val="007279D0"/>
    <w:rsid w:val="00727A85"/>
    <w:rsid w:val="00727B14"/>
    <w:rsid w:val="00727C40"/>
    <w:rsid w:val="00727C69"/>
    <w:rsid w:val="00727CEE"/>
    <w:rsid w:val="00727EE2"/>
    <w:rsid w:val="00727F43"/>
    <w:rsid w:val="00727FD3"/>
    <w:rsid w:val="007302E4"/>
    <w:rsid w:val="007302EB"/>
    <w:rsid w:val="0073034E"/>
    <w:rsid w:val="00730415"/>
    <w:rsid w:val="007307D5"/>
    <w:rsid w:val="007308B5"/>
    <w:rsid w:val="00730AAE"/>
    <w:rsid w:val="00730BDF"/>
    <w:rsid w:val="00730C53"/>
    <w:rsid w:val="00730E58"/>
    <w:rsid w:val="00730EE2"/>
    <w:rsid w:val="00730FF5"/>
    <w:rsid w:val="00731073"/>
    <w:rsid w:val="0073120C"/>
    <w:rsid w:val="00731378"/>
    <w:rsid w:val="00731388"/>
    <w:rsid w:val="007313F9"/>
    <w:rsid w:val="007318B8"/>
    <w:rsid w:val="007319FE"/>
    <w:rsid w:val="00731A30"/>
    <w:rsid w:val="00731BCC"/>
    <w:rsid w:val="00731CD4"/>
    <w:rsid w:val="00732140"/>
    <w:rsid w:val="007321DF"/>
    <w:rsid w:val="00732461"/>
    <w:rsid w:val="0073251D"/>
    <w:rsid w:val="007325D0"/>
    <w:rsid w:val="00732644"/>
    <w:rsid w:val="007328E9"/>
    <w:rsid w:val="00732ACB"/>
    <w:rsid w:val="00732ACC"/>
    <w:rsid w:val="00732B8D"/>
    <w:rsid w:val="00732BB6"/>
    <w:rsid w:val="00732F49"/>
    <w:rsid w:val="0073318A"/>
    <w:rsid w:val="007332C9"/>
    <w:rsid w:val="007332DC"/>
    <w:rsid w:val="007333EA"/>
    <w:rsid w:val="00733432"/>
    <w:rsid w:val="00733594"/>
    <w:rsid w:val="007336BD"/>
    <w:rsid w:val="007337D5"/>
    <w:rsid w:val="007338CC"/>
    <w:rsid w:val="00733D5C"/>
    <w:rsid w:val="00733DD6"/>
    <w:rsid w:val="00733FD9"/>
    <w:rsid w:val="007340DF"/>
    <w:rsid w:val="00734103"/>
    <w:rsid w:val="00734411"/>
    <w:rsid w:val="0073447A"/>
    <w:rsid w:val="00734649"/>
    <w:rsid w:val="00734876"/>
    <w:rsid w:val="00734969"/>
    <w:rsid w:val="00734D29"/>
    <w:rsid w:val="00734EBE"/>
    <w:rsid w:val="007352EA"/>
    <w:rsid w:val="007353B7"/>
    <w:rsid w:val="007354F7"/>
    <w:rsid w:val="00735690"/>
    <w:rsid w:val="00735896"/>
    <w:rsid w:val="00735965"/>
    <w:rsid w:val="00735DA7"/>
    <w:rsid w:val="00735DC6"/>
    <w:rsid w:val="00735E4B"/>
    <w:rsid w:val="0073615E"/>
    <w:rsid w:val="0073618E"/>
    <w:rsid w:val="007362C7"/>
    <w:rsid w:val="007362F1"/>
    <w:rsid w:val="007365CF"/>
    <w:rsid w:val="0073664A"/>
    <w:rsid w:val="007366B1"/>
    <w:rsid w:val="00736701"/>
    <w:rsid w:val="00736AF8"/>
    <w:rsid w:val="00736FFC"/>
    <w:rsid w:val="00737191"/>
    <w:rsid w:val="007371C4"/>
    <w:rsid w:val="0073722D"/>
    <w:rsid w:val="007373E7"/>
    <w:rsid w:val="00737521"/>
    <w:rsid w:val="00737676"/>
    <w:rsid w:val="007376E0"/>
    <w:rsid w:val="007377D8"/>
    <w:rsid w:val="0073786C"/>
    <w:rsid w:val="00737A9E"/>
    <w:rsid w:val="00737C02"/>
    <w:rsid w:val="00737C1F"/>
    <w:rsid w:val="00737C4A"/>
    <w:rsid w:val="00740137"/>
    <w:rsid w:val="00740175"/>
    <w:rsid w:val="007401CD"/>
    <w:rsid w:val="0074021A"/>
    <w:rsid w:val="0074026C"/>
    <w:rsid w:val="007403F7"/>
    <w:rsid w:val="00740856"/>
    <w:rsid w:val="0074099B"/>
    <w:rsid w:val="007409E2"/>
    <w:rsid w:val="00740AEE"/>
    <w:rsid w:val="00740CB2"/>
    <w:rsid w:val="00740D30"/>
    <w:rsid w:val="00740DF2"/>
    <w:rsid w:val="00740E5D"/>
    <w:rsid w:val="00741042"/>
    <w:rsid w:val="007410BD"/>
    <w:rsid w:val="007411B5"/>
    <w:rsid w:val="00741203"/>
    <w:rsid w:val="0074149B"/>
    <w:rsid w:val="0074154B"/>
    <w:rsid w:val="00741571"/>
    <w:rsid w:val="0074157A"/>
    <w:rsid w:val="00741682"/>
    <w:rsid w:val="0074177C"/>
    <w:rsid w:val="0074185E"/>
    <w:rsid w:val="0074191C"/>
    <w:rsid w:val="00741A43"/>
    <w:rsid w:val="00741FED"/>
    <w:rsid w:val="00742277"/>
    <w:rsid w:val="007422FC"/>
    <w:rsid w:val="00742831"/>
    <w:rsid w:val="007428C1"/>
    <w:rsid w:val="00742B47"/>
    <w:rsid w:val="00742BB4"/>
    <w:rsid w:val="00742CE9"/>
    <w:rsid w:val="00742D7F"/>
    <w:rsid w:val="00742ECA"/>
    <w:rsid w:val="00743012"/>
    <w:rsid w:val="00743169"/>
    <w:rsid w:val="00743207"/>
    <w:rsid w:val="00743325"/>
    <w:rsid w:val="00743790"/>
    <w:rsid w:val="0074387C"/>
    <w:rsid w:val="007438AD"/>
    <w:rsid w:val="00743A30"/>
    <w:rsid w:val="00743C76"/>
    <w:rsid w:val="00743D16"/>
    <w:rsid w:val="00743F6D"/>
    <w:rsid w:val="007442F5"/>
    <w:rsid w:val="00744401"/>
    <w:rsid w:val="00744488"/>
    <w:rsid w:val="007444A0"/>
    <w:rsid w:val="007444D2"/>
    <w:rsid w:val="0074459D"/>
    <w:rsid w:val="007445D3"/>
    <w:rsid w:val="00744655"/>
    <w:rsid w:val="00744823"/>
    <w:rsid w:val="0074485B"/>
    <w:rsid w:val="007449B7"/>
    <w:rsid w:val="00744AB8"/>
    <w:rsid w:val="00744CDE"/>
    <w:rsid w:val="00744FE6"/>
    <w:rsid w:val="007453DB"/>
    <w:rsid w:val="0074543A"/>
    <w:rsid w:val="007455BC"/>
    <w:rsid w:val="007455BE"/>
    <w:rsid w:val="00745A1C"/>
    <w:rsid w:val="00745A1F"/>
    <w:rsid w:val="00745BC8"/>
    <w:rsid w:val="00745CBA"/>
    <w:rsid w:val="00745DB3"/>
    <w:rsid w:val="00745EDD"/>
    <w:rsid w:val="00745F58"/>
    <w:rsid w:val="00745F9D"/>
    <w:rsid w:val="00746148"/>
    <w:rsid w:val="007461E7"/>
    <w:rsid w:val="00746236"/>
    <w:rsid w:val="00746272"/>
    <w:rsid w:val="0074632E"/>
    <w:rsid w:val="00746676"/>
    <w:rsid w:val="0074669D"/>
    <w:rsid w:val="007466BA"/>
    <w:rsid w:val="00746CF0"/>
    <w:rsid w:val="00747545"/>
    <w:rsid w:val="007477C2"/>
    <w:rsid w:val="0074795F"/>
    <w:rsid w:val="00747E0B"/>
    <w:rsid w:val="00747F6B"/>
    <w:rsid w:val="007500B1"/>
    <w:rsid w:val="0075014C"/>
    <w:rsid w:val="0075020B"/>
    <w:rsid w:val="00750320"/>
    <w:rsid w:val="00750332"/>
    <w:rsid w:val="00750499"/>
    <w:rsid w:val="0075055B"/>
    <w:rsid w:val="00750722"/>
    <w:rsid w:val="00750772"/>
    <w:rsid w:val="00750A41"/>
    <w:rsid w:val="00750E1E"/>
    <w:rsid w:val="0075113F"/>
    <w:rsid w:val="007511AB"/>
    <w:rsid w:val="007512BF"/>
    <w:rsid w:val="007512FD"/>
    <w:rsid w:val="007516AE"/>
    <w:rsid w:val="007517A1"/>
    <w:rsid w:val="00751800"/>
    <w:rsid w:val="007518D8"/>
    <w:rsid w:val="00751A46"/>
    <w:rsid w:val="00751CC2"/>
    <w:rsid w:val="00751DCD"/>
    <w:rsid w:val="00751DF7"/>
    <w:rsid w:val="00751E16"/>
    <w:rsid w:val="00751F04"/>
    <w:rsid w:val="00751F4A"/>
    <w:rsid w:val="0075211D"/>
    <w:rsid w:val="00752191"/>
    <w:rsid w:val="007522DE"/>
    <w:rsid w:val="007523A3"/>
    <w:rsid w:val="007524DE"/>
    <w:rsid w:val="007526E9"/>
    <w:rsid w:val="007527E0"/>
    <w:rsid w:val="00752A00"/>
    <w:rsid w:val="00752D8F"/>
    <w:rsid w:val="00752DAD"/>
    <w:rsid w:val="0075301A"/>
    <w:rsid w:val="0075313E"/>
    <w:rsid w:val="007531EF"/>
    <w:rsid w:val="00753379"/>
    <w:rsid w:val="00753430"/>
    <w:rsid w:val="00753529"/>
    <w:rsid w:val="0075394E"/>
    <w:rsid w:val="00753C95"/>
    <w:rsid w:val="00753D80"/>
    <w:rsid w:val="00754038"/>
    <w:rsid w:val="00754045"/>
    <w:rsid w:val="007540F5"/>
    <w:rsid w:val="0075413C"/>
    <w:rsid w:val="007541FC"/>
    <w:rsid w:val="007543CD"/>
    <w:rsid w:val="007544B2"/>
    <w:rsid w:val="007544E3"/>
    <w:rsid w:val="007546BD"/>
    <w:rsid w:val="00754762"/>
    <w:rsid w:val="0075477F"/>
    <w:rsid w:val="0075478D"/>
    <w:rsid w:val="007547D2"/>
    <w:rsid w:val="0075485E"/>
    <w:rsid w:val="0075486C"/>
    <w:rsid w:val="00754891"/>
    <w:rsid w:val="007549FB"/>
    <w:rsid w:val="00754E58"/>
    <w:rsid w:val="00754EAD"/>
    <w:rsid w:val="00754F5E"/>
    <w:rsid w:val="00754F8B"/>
    <w:rsid w:val="00755227"/>
    <w:rsid w:val="007557ED"/>
    <w:rsid w:val="00755B5B"/>
    <w:rsid w:val="00755B88"/>
    <w:rsid w:val="00755C04"/>
    <w:rsid w:val="00755E3C"/>
    <w:rsid w:val="00755EBB"/>
    <w:rsid w:val="007560D9"/>
    <w:rsid w:val="007561B1"/>
    <w:rsid w:val="0075626A"/>
    <w:rsid w:val="00756436"/>
    <w:rsid w:val="0075661C"/>
    <w:rsid w:val="007566D4"/>
    <w:rsid w:val="00756765"/>
    <w:rsid w:val="007567D1"/>
    <w:rsid w:val="00756CC5"/>
    <w:rsid w:val="00756DD8"/>
    <w:rsid w:val="00756E33"/>
    <w:rsid w:val="00756E72"/>
    <w:rsid w:val="00756F3A"/>
    <w:rsid w:val="00756F5A"/>
    <w:rsid w:val="00756FA5"/>
    <w:rsid w:val="00757093"/>
    <w:rsid w:val="00757108"/>
    <w:rsid w:val="00757526"/>
    <w:rsid w:val="007577AE"/>
    <w:rsid w:val="00757955"/>
    <w:rsid w:val="00757B48"/>
    <w:rsid w:val="00757DAA"/>
    <w:rsid w:val="00757EB7"/>
    <w:rsid w:val="00757F36"/>
    <w:rsid w:val="007601CF"/>
    <w:rsid w:val="00760633"/>
    <w:rsid w:val="007606A4"/>
    <w:rsid w:val="007608E6"/>
    <w:rsid w:val="0076093F"/>
    <w:rsid w:val="00760D46"/>
    <w:rsid w:val="00760E8E"/>
    <w:rsid w:val="00760F18"/>
    <w:rsid w:val="0076106C"/>
    <w:rsid w:val="0076108D"/>
    <w:rsid w:val="0076112A"/>
    <w:rsid w:val="0076122A"/>
    <w:rsid w:val="007614A0"/>
    <w:rsid w:val="007615E1"/>
    <w:rsid w:val="00761756"/>
    <w:rsid w:val="00761B1A"/>
    <w:rsid w:val="00761B29"/>
    <w:rsid w:val="00761BDF"/>
    <w:rsid w:val="00761C09"/>
    <w:rsid w:val="00761C7A"/>
    <w:rsid w:val="00761EEA"/>
    <w:rsid w:val="00761F0D"/>
    <w:rsid w:val="007622FA"/>
    <w:rsid w:val="007623C0"/>
    <w:rsid w:val="0076240E"/>
    <w:rsid w:val="0076250C"/>
    <w:rsid w:val="007625A2"/>
    <w:rsid w:val="0076274D"/>
    <w:rsid w:val="0076277F"/>
    <w:rsid w:val="007627AF"/>
    <w:rsid w:val="00762881"/>
    <w:rsid w:val="00762A64"/>
    <w:rsid w:val="00762D34"/>
    <w:rsid w:val="00762E07"/>
    <w:rsid w:val="00762E0D"/>
    <w:rsid w:val="00762E86"/>
    <w:rsid w:val="00762EFA"/>
    <w:rsid w:val="00763429"/>
    <w:rsid w:val="00763448"/>
    <w:rsid w:val="00763525"/>
    <w:rsid w:val="007636BC"/>
    <w:rsid w:val="007636F0"/>
    <w:rsid w:val="007637CD"/>
    <w:rsid w:val="007637E3"/>
    <w:rsid w:val="0076396F"/>
    <w:rsid w:val="00763A6C"/>
    <w:rsid w:val="00763EFA"/>
    <w:rsid w:val="00763F45"/>
    <w:rsid w:val="00764039"/>
    <w:rsid w:val="007642D6"/>
    <w:rsid w:val="00764350"/>
    <w:rsid w:val="00764414"/>
    <w:rsid w:val="0076455E"/>
    <w:rsid w:val="00764647"/>
    <w:rsid w:val="00764705"/>
    <w:rsid w:val="007647B7"/>
    <w:rsid w:val="007649A3"/>
    <w:rsid w:val="00764A1F"/>
    <w:rsid w:val="00764C5F"/>
    <w:rsid w:val="00764DAD"/>
    <w:rsid w:val="00764EED"/>
    <w:rsid w:val="0076549E"/>
    <w:rsid w:val="007657BE"/>
    <w:rsid w:val="007657E2"/>
    <w:rsid w:val="00765839"/>
    <w:rsid w:val="0076587B"/>
    <w:rsid w:val="007659CF"/>
    <w:rsid w:val="00765C31"/>
    <w:rsid w:val="00765CCF"/>
    <w:rsid w:val="00765CDF"/>
    <w:rsid w:val="00765DD7"/>
    <w:rsid w:val="00766038"/>
    <w:rsid w:val="00766208"/>
    <w:rsid w:val="00766284"/>
    <w:rsid w:val="007664D1"/>
    <w:rsid w:val="007665B8"/>
    <w:rsid w:val="00766684"/>
    <w:rsid w:val="007666FF"/>
    <w:rsid w:val="0076685D"/>
    <w:rsid w:val="0076688F"/>
    <w:rsid w:val="00766C42"/>
    <w:rsid w:val="00766F11"/>
    <w:rsid w:val="00766F93"/>
    <w:rsid w:val="007670AE"/>
    <w:rsid w:val="007673DA"/>
    <w:rsid w:val="00767429"/>
    <w:rsid w:val="0076751A"/>
    <w:rsid w:val="0076769A"/>
    <w:rsid w:val="007676F0"/>
    <w:rsid w:val="007677D6"/>
    <w:rsid w:val="00767831"/>
    <w:rsid w:val="00767A85"/>
    <w:rsid w:val="00767B38"/>
    <w:rsid w:val="00767BFF"/>
    <w:rsid w:val="00767C81"/>
    <w:rsid w:val="00767E49"/>
    <w:rsid w:val="007702AC"/>
    <w:rsid w:val="007702B0"/>
    <w:rsid w:val="00770421"/>
    <w:rsid w:val="007705BA"/>
    <w:rsid w:val="0077081C"/>
    <w:rsid w:val="00770DA3"/>
    <w:rsid w:val="00770F7E"/>
    <w:rsid w:val="00770FA0"/>
    <w:rsid w:val="007711A2"/>
    <w:rsid w:val="00771242"/>
    <w:rsid w:val="007713A3"/>
    <w:rsid w:val="00771436"/>
    <w:rsid w:val="0077146E"/>
    <w:rsid w:val="00771879"/>
    <w:rsid w:val="00771A82"/>
    <w:rsid w:val="00771B0E"/>
    <w:rsid w:val="00771CAF"/>
    <w:rsid w:val="00771CB6"/>
    <w:rsid w:val="00771E5C"/>
    <w:rsid w:val="00771FA8"/>
    <w:rsid w:val="0077241E"/>
    <w:rsid w:val="0077265C"/>
    <w:rsid w:val="0077269A"/>
    <w:rsid w:val="00772799"/>
    <w:rsid w:val="007727C6"/>
    <w:rsid w:val="00772860"/>
    <w:rsid w:val="007728B4"/>
    <w:rsid w:val="007729BA"/>
    <w:rsid w:val="00772A9F"/>
    <w:rsid w:val="00772B09"/>
    <w:rsid w:val="00772C4E"/>
    <w:rsid w:val="00772F0D"/>
    <w:rsid w:val="0077304A"/>
    <w:rsid w:val="007730B7"/>
    <w:rsid w:val="0077316E"/>
    <w:rsid w:val="007731FF"/>
    <w:rsid w:val="0077335A"/>
    <w:rsid w:val="00773385"/>
    <w:rsid w:val="007733A2"/>
    <w:rsid w:val="007734B5"/>
    <w:rsid w:val="007736B1"/>
    <w:rsid w:val="00773AF1"/>
    <w:rsid w:val="00773AFE"/>
    <w:rsid w:val="00773BE4"/>
    <w:rsid w:val="00773C66"/>
    <w:rsid w:val="00773E21"/>
    <w:rsid w:val="00773F34"/>
    <w:rsid w:val="007740E9"/>
    <w:rsid w:val="007742E8"/>
    <w:rsid w:val="00774341"/>
    <w:rsid w:val="007743B1"/>
    <w:rsid w:val="007743B6"/>
    <w:rsid w:val="0077449F"/>
    <w:rsid w:val="007744A3"/>
    <w:rsid w:val="00774D48"/>
    <w:rsid w:val="00774D96"/>
    <w:rsid w:val="00774EB0"/>
    <w:rsid w:val="00774EC9"/>
    <w:rsid w:val="007756A8"/>
    <w:rsid w:val="007756C6"/>
    <w:rsid w:val="007756DC"/>
    <w:rsid w:val="00775858"/>
    <w:rsid w:val="007758CD"/>
    <w:rsid w:val="0077593C"/>
    <w:rsid w:val="00775A33"/>
    <w:rsid w:val="00775ACF"/>
    <w:rsid w:val="00775C2F"/>
    <w:rsid w:val="00775CCE"/>
    <w:rsid w:val="00775CE2"/>
    <w:rsid w:val="00775DB7"/>
    <w:rsid w:val="00776029"/>
    <w:rsid w:val="0077638D"/>
    <w:rsid w:val="007763E0"/>
    <w:rsid w:val="00776521"/>
    <w:rsid w:val="0077666F"/>
    <w:rsid w:val="00776707"/>
    <w:rsid w:val="007767FB"/>
    <w:rsid w:val="007768CC"/>
    <w:rsid w:val="0077693F"/>
    <w:rsid w:val="00776A91"/>
    <w:rsid w:val="00776B9C"/>
    <w:rsid w:val="00776BCA"/>
    <w:rsid w:val="00776C56"/>
    <w:rsid w:val="00776C6F"/>
    <w:rsid w:val="00776D93"/>
    <w:rsid w:val="00776F28"/>
    <w:rsid w:val="00777010"/>
    <w:rsid w:val="00777244"/>
    <w:rsid w:val="007772FE"/>
    <w:rsid w:val="00777657"/>
    <w:rsid w:val="007776AA"/>
    <w:rsid w:val="007779E2"/>
    <w:rsid w:val="00777A75"/>
    <w:rsid w:val="00777A80"/>
    <w:rsid w:val="00777B8E"/>
    <w:rsid w:val="00777CAF"/>
    <w:rsid w:val="00777E24"/>
    <w:rsid w:val="007800E3"/>
    <w:rsid w:val="0078045C"/>
    <w:rsid w:val="007806D0"/>
    <w:rsid w:val="007807C5"/>
    <w:rsid w:val="0078080D"/>
    <w:rsid w:val="007808B3"/>
    <w:rsid w:val="00780941"/>
    <w:rsid w:val="007809C6"/>
    <w:rsid w:val="00780A1E"/>
    <w:rsid w:val="00780AB8"/>
    <w:rsid w:val="00780B6F"/>
    <w:rsid w:val="00780C95"/>
    <w:rsid w:val="00780E84"/>
    <w:rsid w:val="00780FEE"/>
    <w:rsid w:val="00781016"/>
    <w:rsid w:val="007810DA"/>
    <w:rsid w:val="0078128C"/>
    <w:rsid w:val="00781361"/>
    <w:rsid w:val="00781514"/>
    <w:rsid w:val="007816AF"/>
    <w:rsid w:val="0078178C"/>
    <w:rsid w:val="007817F9"/>
    <w:rsid w:val="00781858"/>
    <w:rsid w:val="0078190C"/>
    <w:rsid w:val="0078195C"/>
    <w:rsid w:val="00781B07"/>
    <w:rsid w:val="00781BC9"/>
    <w:rsid w:val="00781E96"/>
    <w:rsid w:val="00782076"/>
    <w:rsid w:val="007820C0"/>
    <w:rsid w:val="007821BE"/>
    <w:rsid w:val="007823B4"/>
    <w:rsid w:val="007824D3"/>
    <w:rsid w:val="00782534"/>
    <w:rsid w:val="0078257A"/>
    <w:rsid w:val="00782609"/>
    <w:rsid w:val="0078264D"/>
    <w:rsid w:val="00782937"/>
    <w:rsid w:val="00782ADE"/>
    <w:rsid w:val="00782E76"/>
    <w:rsid w:val="00782E82"/>
    <w:rsid w:val="0078307B"/>
    <w:rsid w:val="0078331F"/>
    <w:rsid w:val="00783368"/>
    <w:rsid w:val="007833F6"/>
    <w:rsid w:val="007835E4"/>
    <w:rsid w:val="007837A3"/>
    <w:rsid w:val="007837CC"/>
    <w:rsid w:val="0078391D"/>
    <w:rsid w:val="00783B78"/>
    <w:rsid w:val="00783C40"/>
    <w:rsid w:val="00783C8F"/>
    <w:rsid w:val="00783EC2"/>
    <w:rsid w:val="007841AE"/>
    <w:rsid w:val="00784206"/>
    <w:rsid w:val="0078426C"/>
    <w:rsid w:val="00784396"/>
    <w:rsid w:val="00784BA8"/>
    <w:rsid w:val="00784DAD"/>
    <w:rsid w:val="0078503A"/>
    <w:rsid w:val="0078506A"/>
    <w:rsid w:val="00785197"/>
    <w:rsid w:val="007852A8"/>
    <w:rsid w:val="00785430"/>
    <w:rsid w:val="0078547B"/>
    <w:rsid w:val="00785489"/>
    <w:rsid w:val="007854AF"/>
    <w:rsid w:val="00785506"/>
    <w:rsid w:val="00785625"/>
    <w:rsid w:val="00785632"/>
    <w:rsid w:val="0078585A"/>
    <w:rsid w:val="007858BB"/>
    <w:rsid w:val="00785932"/>
    <w:rsid w:val="007859E2"/>
    <w:rsid w:val="007859FC"/>
    <w:rsid w:val="00785B2A"/>
    <w:rsid w:val="00785C9E"/>
    <w:rsid w:val="00785E0D"/>
    <w:rsid w:val="00785E31"/>
    <w:rsid w:val="00785E60"/>
    <w:rsid w:val="00785F28"/>
    <w:rsid w:val="0078607D"/>
    <w:rsid w:val="00786253"/>
    <w:rsid w:val="00786276"/>
    <w:rsid w:val="0078630A"/>
    <w:rsid w:val="007863F8"/>
    <w:rsid w:val="007867C3"/>
    <w:rsid w:val="00786A2F"/>
    <w:rsid w:val="00786B4C"/>
    <w:rsid w:val="00786E51"/>
    <w:rsid w:val="00786E52"/>
    <w:rsid w:val="00786FFA"/>
    <w:rsid w:val="007873BA"/>
    <w:rsid w:val="00787667"/>
    <w:rsid w:val="00787686"/>
    <w:rsid w:val="0078775D"/>
    <w:rsid w:val="007877A3"/>
    <w:rsid w:val="0078799C"/>
    <w:rsid w:val="00787B53"/>
    <w:rsid w:val="007900DD"/>
    <w:rsid w:val="007901A8"/>
    <w:rsid w:val="00790273"/>
    <w:rsid w:val="0079031B"/>
    <w:rsid w:val="00790341"/>
    <w:rsid w:val="00790441"/>
    <w:rsid w:val="0079059B"/>
    <w:rsid w:val="00790730"/>
    <w:rsid w:val="0079082C"/>
    <w:rsid w:val="00790CA5"/>
    <w:rsid w:val="00790D1A"/>
    <w:rsid w:val="00790D2B"/>
    <w:rsid w:val="00790D6E"/>
    <w:rsid w:val="00790D94"/>
    <w:rsid w:val="00790E49"/>
    <w:rsid w:val="00790F4B"/>
    <w:rsid w:val="00791533"/>
    <w:rsid w:val="007915FF"/>
    <w:rsid w:val="007916A0"/>
    <w:rsid w:val="00791818"/>
    <w:rsid w:val="0079193D"/>
    <w:rsid w:val="00791972"/>
    <w:rsid w:val="00791981"/>
    <w:rsid w:val="00791C72"/>
    <w:rsid w:val="00791CAD"/>
    <w:rsid w:val="00791FB4"/>
    <w:rsid w:val="007921D4"/>
    <w:rsid w:val="00792220"/>
    <w:rsid w:val="00792434"/>
    <w:rsid w:val="0079251F"/>
    <w:rsid w:val="0079271D"/>
    <w:rsid w:val="00792909"/>
    <w:rsid w:val="00792A23"/>
    <w:rsid w:val="00792A7E"/>
    <w:rsid w:val="00792C2D"/>
    <w:rsid w:val="00792D4D"/>
    <w:rsid w:val="00792EAA"/>
    <w:rsid w:val="00793049"/>
    <w:rsid w:val="007930F4"/>
    <w:rsid w:val="007931F7"/>
    <w:rsid w:val="00793201"/>
    <w:rsid w:val="0079328E"/>
    <w:rsid w:val="00793474"/>
    <w:rsid w:val="007934AB"/>
    <w:rsid w:val="007934EA"/>
    <w:rsid w:val="0079353D"/>
    <w:rsid w:val="0079378A"/>
    <w:rsid w:val="00793D55"/>
    <w:rsid w:val="00794172"/>
    <w:rsid w:val="0079418E"/>
    <w:rsid w:val="00794376"/>
    <w:rsid w:val="00794457"/>
    <w:rsid w:val="00794486"/>
    <w:rsid w:val="0079455D"/>
    <w:rsid w:val="0079471D"/>
    <w:rsid w:val="0079489A"/>
    <w:rsid w:val="0079490C"/>
    <w:rsid w:val="007949F9"/>
    <w:rsid w:val="00794B44"/>
    <w:rsid w:val="00794B89"/>
    <w:rsid w:val="00794BBE"/>
    <w:rsid w:val="00794CE6"/>
    <w:rsid w:val="00794D10"/>
    <w:rsid w:val="00794E62"/>
    <w:rsid w:val="00794EC4"/>
    <w:rsid w:val="00794F24"/>
    <w:rsid w:val="00794F3A"/>
    <w:rsid w:val="00794F79"/>
    <w:rsid w:val="00794F9F"/>
    <w:rsid w:val="00795265"/>
    <w:rsid w:val="007953EC"/>
    <w:rsid w:val="007955A0"/>
    <w:rsid w:val="007957B7"/>
    <w:rsid w:val="00795872"/>
    <w:rsid w:val="00795AB1"/>
    <w:rsid w:val="00795B94"/>
    <w:rsid w:val="00795C22"/>
    <w:rsid w:val="00795EAB"/>
    <w:rsid w:val="00795F05"/>
    <w:rsid w:val="007960AE"/>
    <w:rsid w:val="007961C2"/>
    <w:rsid w:val="007961C7"/>
    <w:rsid w:val="00796387"/>
    <w:rsid w:val="007965E2"/>
    <w:rsid w:val="0079666E"/>
    <w:rsid w:val="00796885"/>
    <w:rsid w:val="007969B9"/>
    <w:rsid w:val="00796A25"/>
    <w:rsid w:val="00796B3C"/>
    <w:rsid w:val="00796D52"/>
    <w:rsid w:val="00796DF2"/>
    <w:rsid w:val="00796F37"/>
    <w:rsid w:val="0079710B"/>
    <w:rsid w:val="007975E6"/>
    <w:rsid w:val="00797871"/>
    <w:rsid w:val="00797BA4"/>
    <w:rsid w:val="00797C1C"/>
    <w:rsid w:val="00797C92"/>
    <w:rsid w:val="00797D57"/>
    <w:rsid w:val="007A0268"/>
    <w:rsid w:val="007A0647"/>
    <w:rsid w:val="007A0769"/>
    <w:rsid w:val="007A077B"/>
    <w:rsid w:val="007A083B"/>
    <w:rsid w:val="007A0850"/>
    <w:rsid w:val="007A0880"/>
    <w:rsid w:val="007A0A5A"/>
    <w:rsid w:val="007A0CC4"/>
    <w:rsid w:val="007A0E20"/>
    <w:rsid w:val="007A0EE8"/>
    <w:rsid w:val="007A1005"/>
    <w:rsid w:val="007A112A"/>
    <w:rsid w:val="007A11C4"/>
    <w:rsid w:val="007A11FB"/>
    <w:rsid w:val="007A1213"/>
    <w:rsid w:val="007A1281"/>
    <w:rsid w:val="007A12BD"/>
    <w:rsid w:val="007A13E6"/>
    <w:rsid w:val="007A1450"/>
    <w:rsid w:val="007A14B0"/>
    <w:rsid w:val="007A14DC"/>
    <w:rsid w:val="007A15A6"/>
    <w:rsid w:val="007A15EF"/>
    <w:rsid w:val="007A16C1"/>
    <w:rsid w:val="007A1712"/>
    <w:rsid w:val="007A18B4"/>
    <w:rsid w:val="007A1943"/>
    <w:rsid w:val="007A1A8B"/>
    <w:rsid w:val="007A1C18"/>
    <w:rsid w:val="007A1C7C"/>
    <w:rsid w:val="007A1D59"/>
    <w:rsid w:val="007A1E79"/>
    <w:rsid w:val="007A2115"/>
    <w:rsid w:val="007A22E2"/>
    <w:rsid w:val="007A2317"/>
    <w:rsid w:val="007A2483"/>
    <w:rsid w:val="007A257F"/>
    <w:rsid w:val="007A26B2"/>
    <w:rsid w:val="007A29B0"/>
    <w:rsid w:val="007A2A9D"/>
    <w:rsid w:val="007A2CD9"/>
    <w:rsid w:val="007A2CE0"/>
    <w:rsid w:val="007A2D80"/>
    <w:rsid w:val="007A2E87"/>
    <w:rsid w:val="007A2FB8"/>
    <w:rsid w:val="007A3310"/>
    <w:rsid w:val="007A345A"/>
    <w:rsid w:val="007A34E9"/>
    <w:rsid w:val="007A3712"/>
    <w:rsid w:val="007A37E0"/>
    <w:rsid w:val="007A3956"/>
    <w:rsid w:val="007A3AA3"/>
    <w:rsid w:val="007A3DF9"/>
    <w:rsid w:val="007A3FEE"/>
    <w:rsid w:val="007A40B5"/>
    <w:rsid w:val="007A413C"/>
    <w:rsid w:val="007A4141"/>
    <w:rsid w:val="007A41A7"/>
    <w:rsid w:val="007A4212"/>
    <w:rsid w:val="007A430A"/>
    <w:rsid w:val="007A430E"/>
    <w:rsid w:val="007A4641"/>
    <w:rsid w:val="007A4671"/>
    <w:rsid w:val="007A4879"/>
    <w:rsid w:val="007A49C2"/>
    <w:rsid w:val="007A4B87"/>
    <w:rsid w:val="007A4D1B"/>
    <w:rsid w:val="007A4E58"/>
    <w:rsid w:val="007A4EDA"/>
    <w:rsid w:val="007A4FFA"/>
    <w:rsid w:val="007A5424"/>
    <w:rsid w:val="007A57DF"/>
    <w:rsid w:val="007A5E00"/>
    <w:rsid w:val="007A5F38"/>
    <w:rsid w:val="007A60C1"/>
    <w:rsid w:val="007A6145"/>
    <w:rsid w:val="007A6281"/>
    <w:rsid w:val="007A631C"/>
    <w:rsid w:val="007A63BC"/>
    <w:rsid w:val="007A6687"/>
    <w:rsid w:val="007A67B1"/>
    <w:rsid w:val="007A67D2"/>
    <w:rsid w:val="007A6833"/>
    <w:rsid w:val="007A68AB"/>
    <w:rsid w:val="007A690A"/>
    <w:rsid w:val="007A6AAD"/>
    <w:rsid w:val="007A6B01"/>
    <w:rsid w:val="007A6B75"/>
    <w:rsid w:val="007A6D8C"/>
    <w:rsid w:val="007A6F4E"/>
    <w:rsid w:val="007A71A9"/>
    <w:rsid w:val="007A731E"/>
    <w:rsid w:val="007A77DA"/>
    <w:rsid w:val="007A7919"/>
    <w:rsid w:val="007A7C1F"/>
    <w:rsid w:val="007A7C79"/>
    <w:rsid w:val="007A7E55"/>
    <w:rsid w:val="007B0121"/>
    <w:rsid w:val="007B0166"/>
    <w:rsid w:val="007B0195"/>
    <w:rsid w:val="007B02A9"/>
    <w:rsid w:val="007B0338"/>
    <w:rsid w:val="007B03F8"/>
    <w:rsid w:val="007B0530"/>
    <w:rsid w:val="007B0682"/>
    <w:rsid w:val="007B0855"/>
    <w:rsid w:val="007B0893"/>
    <w:rsid w:val="007B08DE"/>
    <w:rsid w:val="007B0916"/>
    <w:rsid w:val="007B0C05"/>
    <w:rsid w:val="007B0C98"/>
    <w:rsid w:val="007B0DA8"/>
    <w:rsid w:val="007B0E6B"/>
    <w:rsid w:val="007B0F69"/>
    <w:rsid w:val="007B0F70"/>
    <w:rsid w:val="007B0FD9"/>
    <w:rsid w:val="007B104C"/>
    <w:rsid w:val="007B10F5"/>
    <w:rsid w:val="007B1152"/>
    <w:rsid w:val="007B1272"/>
    <w:rsid w:val="007B14AE"/>
    <w:rsid w:val="007B14ED"/>
    <w:rsid w:val="007B1570"/>
    <w:rsid w:val="007B191B"/>
    <w:rsid w:val="007B1A2C"/>
    <w:rsid w:val="007B1C70"/>
    <w:rsid w:val="007B1C92"/>
    <w:rsid w:val="007B1DAA"/>
    <w:rsid w:val="007B1F50"/>
    <w:rsid w:val="007B1FC6"/>
    <w:rsid w:val="007B1FF2"/>
    <w:rsid w:val="007B20BB"/>
    <w:rsid w:val="007B2161"/>
    <w:rsid w:val="007B248A"/>
    <w:rsid w:val="007B258F"/>
    <w:rsid w:val="007B268C"/>
    <w:rsid w:val="007B27F0"/>
    <w:rsid w:val="007B2909"/>
    <w:rsid w:val="007B2917"/>
    <w:rsid w:val="007B2B7E"/>
    <w:rsid w:val="007B2E93"/>
    <w:rsid w:val="007B2EDC"/>
    <w:rsid w:val="007B309B"/>
    <w:rsid w:val="007B32B5"/>
    <w:rsid w:val="007B3355"/>
    <w:rsid w:val="007B336F"/>
    <w:rsid w:val="007B33F2"/>
    <w:rsid w:val="007B34E1"/>
    <w:rsid w:val="007B3512"/>
    <w:rsid w:val="007B36BE"/>
    <w:rsid w:val="007B375B"/>
    <w:rsid w:val="007B37F9"/>
    <w:rsid w:val="007B38A1"/>
    <w:rsid w:val="007B38F9"/>
    <w:rsid w:val="007B39B0"/>
    <w:rsid w:val="007B3A46"/>
    <w:rsid w:val="007B3AFA"/>
    <w:rsid w:val="007B3BEF"/>
    <w:rsid w:val="007B3C0F"/>
    <w:rsid w:val="007B3C29"/>
    <w:rsid w:val="007B3E65"/>
    <w:rsid w:val="007B3F39"/>
    <w:rsid w:val="007B3F87"/>
    <w:rsid w:val="007B4077"/>
    <w:rsid w:val="007B436D"/>
    <w:rsid w:val="007B44A5"/>
    <w:rsid w:val="007B46CD"/>
    <w:rsid w:val="007B4895"/>
    <w:rsid w:val="007B4AEB"/>
    <w:rsid w:val="007B4C8F"/>
    <w:rsid w:val="007B50A3"/>
    <w:rsid w:val="007B529C"/>
    <w:rsid w:val="007B532C"/>
    <w:rsid w:val="007B53AE"/>
    <w:rsid w:val="007B5440"/>
    <w:rsid w:val="007B55AF"/>
    <w:rsid w:val="007B5789"/>
    <w:rsid w:val="007B57E9"/>
    <w:rsid w:val="007B5875"/>
    <w:rsid w:val="007B5DE2"/>
    <w:rsid w:val="007B64F1"/>
    <w:rsid w:val="007B66A6"/>
    <w:rsid w:val="007B66F6"/>
    <w:rsid w:val="007B66F9"/>
    <w:rsid w:val="007B696B"/>
    <w:rsid w:val="007B6BA0"/>
    <w:rsid w:val="007B6C05"/>
    <w:rsid w:val="007B6D3F"/>
    <w:rsid w:val="007B7063"/>
    <w:rsid w:val="007B70A4"/>
    <w:rsid w:val="007B71E5"/>
    <w:rsid w:val="007B72F9"/>
    <w:rsid w:val="007B7494"/>
    <w:rsid w:val="007B75DB"/>
    <w:rsid w:val="007B75FB"/>
    <w:rsid w:val="007B766D"/>
    <w:rsid w:val="007B7680"/>
    <w:rsid w:val="007B769A"/>
    <w:rsid w:val="007B79C5"/>
    <w:rsid w:val="007B7B0C"/>
    <w:rsid w:val="007B7B2A"/>
    <w:rsid w:val="007B7C05"/>
    <w:rsid w:val="007B7D17"/>
    <w:rsid w:val="007B7E9D"/>
    <w:rsid w:val="007C00BE"/>
    <w:rsid w:val="007C00FF"/>
    <w:rsid w:val="007C01A7"/>
    <w:rsid w:val="007C0236"/>
    <w:rsid w:val="007C0374"/>
    <w:rsid w:val="007C0519"/>
    <w:rsid w:val="007C0560"/>
    <w:rsid w:val="007C0733"/>
    <w:rsid w:val="007C0798"/>
    <w:rsid w:val="007C095C"/>
    <w:rsid w:val="007C0A97"/>
    <w:rsid w:val="007C0AD2"/>
    <w:rsid w:val="007C0B19"/>
    <w:rsid w:val="007C0B38"/>
    <w:rsid w:val="007C0B58"/>
    <w:rsid w:val="007C0CA1"/>
    <w:rsid w:val="007C0CD0"/>
    <w:rsid w:val="007C0F5D"/>
    <w:rsid w:val="007C101F"/>
    <w:rsid w:val="007C10D6"/>
    <w:rsid w:val="007C136A"/>
    <w:rsid w:val="007C155D"/>
    <w:rsid w:val="007C15C0"/>
    <w:rsid w:val="007C1787"/>
    <w:rsid w:val="007C1B4B"/>
    <w:rsid w:val="007C1D58"/>
    <w:rsid w:val="007C1FFE"/>
    <w:rsid w:val="007C2025"/>
    <w:rsid w:val="007C202E"/>
    <w:rsid w:val="007C2113"/>
    <w:rsid w:val="007C212D"/>
    <w:rsid w:val="007C2171"/>
    <w:rsid w:val="007C2310"/>
    <w:rsid w:val="007C23E5"/>
    <w:rsid w:val="007C27FC"/>
    <w:rsid w:val="007C293C"/>
    <w:rsid w:val="007C2C02"/>
    <w:rsid w:val="007C2D4D"/>
    <w:rsid w:val="007C3219"/>
    <w:rsid w:val="007C32E3"/>
    <w:rsid w:val="007C33FB"/>
    <w:rsid w:val="007C3438"/>
    <w:rsid w:val="007C3700"/>
    <w:rsid w:val="007C3844"/>
    <w:rsid w:val="007C3866"/>
    <w:rsid w:val="007C3893"/>
    <w:rsid w:val="007C38A2"/>
    <w:rsid w:val="007C3945"/>
    <w:rsid w:val="007C3E2A"/>
    <w:rsid w:val="007C424F"/>
    <w:rsid w:val="007C4267"/>
    <w:rsid w:val="007C428D"/>
    <w:rsid w:val="007C45F1"/>
    <w:rsid w:val="007C4848"/>
    <w:rsid w:val="007C4A2A"/>
    <w:rsid w:val="007C4AE4"/>
    <w:rsid w:val="007C4C34"/>
    <w:rsid w:val="007C4D33"/>
    <w:rsid w:val="007C4E78"/>
    <w:rsid w:val="007C4ED4"/>
    <w:rsid w:val="007C4F4E"/>
    <w:rsid w:val="007C5660"/>
    <w:rsid w:val="007C57A5"/>
    <w:rsid w:val="007C5EDA"/>
    <w:rsid w:val="007C5EE5"/>
    <w:rsid w:val="007C5F4A"/>
    <w:rsid w:val="007C609C"/>
    <w:rsid w:val="007C624D"/>
    <w:rsid w:val="007C63D1"/>
    <w:rsid w:val="007C64B8"/>
    <w:rsid w:val="007C64DA"/>
    <w:rsid w:val="007C66CE"/>
    <w:rsid w:val="007C66ED"/>
    <w:rsid w:val="007C688D"/>
    <w:rsid w:val="007C68A5"/>
    <w:rsid w:val="007C6B96"/>
    <w:rsid w:val="007C6BDC"/>
    <w:rsid w:val="007C6C15"/>
    <w:rsid w:val="007C6E4C"/>
    <w:rsid w:val="007C732D"/>
    <w:rsid w:val="007C7472"/>
    <w:rsid w:val="007C74C4"/>
    <w:rsid w:val="007C7567"/>
    <w:rsid w:val="007C76B3"/>
    <w:rsid w:val="007C7945"/>
    <w:rsid w:val="007C797F"/>
    <w:rsid w:val="007C7B5D"/>
    <w:rsid w:val="007C7C16"/>
    <w:rsid w:val="007C7C6A"/>
    <w:rsid w:val="007C7D45"/>
    <w:rsid w:val="007C7F19"/>
    <w:rsid w:val="007D0196"/>
    <w:rsid w:val="007D0244"/>
    <w:rsid w:val="007D0292"/>
    <w:rsid w:val="007D03C3"/>
    <w:rsid w:val="007D0D76"/>
    <w:rsid w:val="007D129B"/>
    <w:rsid w:val="007D131C"/>
    <w:rsid w:val="007D13D5"/>
    <w:rsid w:val="007D15A7"/>
    <w:rsid w:val="007D1694"/>
    <w:rsid w:val="007D16DD"/>
    <w:rsid w:val="007D1A60"/>
    <w:rsid w:val="007D1FA4"/>
    <w:rsid w:val="007D1FBA"/>
    <w:rsid w:val="007D20CD"/>
    <w:rsid w:val="007D2158"/>
    <w:rsid w:val="007D2283"/>
    <w:rsid w:val="007D230A"/>
    <w:rsid w:val="007D24BC"/>
    <w:rsid w:val="007D2595"/>
    <w:rsid w:val="007D27D5"/>
    <w:rsid w:val="007D28F6"/>
    <w:rsid w:val="007D299B"/>
    <w:rsid w:val="007D2B73"/>
    <w:rsid w:val="007D2CC6"/>
    <w:rsid w:val="007D2D24"/>
    <w:rsid w:val="007D308E"/>
    <w:rsid w:val="007D3147"/>
    <w:rsid w:val="007D32BF"/>
    <w:rsid w:val="007D32E0"/>
    <w:rsid w:val="007D347A"/>
    <w:rsid w:val="007D36DF"/>
    <w:rsid w:val="007D381C"/>
    <w:rsid w:val="007D3980"/>
    <w:rsid w:val="007D3C1E"/>
    <w:rsid w:val="007D3D89"/>
    <w:rsid w:val="007D3FF0"/>
    <w:rsid w:val="007D4383"/>
    <w:rsid w:val="007D446F"/>
    <w:rsid w:val="007D44B8"/>
    <w:rsid w:val="007D4515"/>
    <w:rsid w:val="007D4850"/>
    <w:rsid w:val="007D4917"/>
    <w:rsid w:val="007D4963"/>
    <w:rsid w:val="007D4C22"/>
    <w:rsid w:val="007D4C74"/>
    <w:rsid w:val="007D4ED0"/>
    <w:rsid w:val="007D52D2"/>
    <w:rsid w:val="007D53A5"/>
    <w:rsid w:val="007D563F"/>
    <w:rsid w:val="007D5788"/>
    <w:rsid w:val="007D5796"/>
    <w:rsid w:val="007D57FF"/>
    <w:rsid w:val="007D58D8"/>
    <w:rsid w:val="007D58E4"/>
    <w:rsid w:val="007D591C"/>
    <w:rsid w:val="007D5A26"/>
    <w:rsid w:val="007D5A30"/>
    <w:rsid w:val="007D5CC8"/>
    <w:rsid w:val="007D60A2"/>
    <w:rsid w:val="007D650F"/>
    <w:rsid w:val="007D662A"/>
    <w:rsid w:val="007D6694"/>
    <w:rsid w:val="007D6733"/>
    <w:rsid w:val="007D67EB"/>
    <w:rsid w:val="007D68C8"/>
    <w:rsid w:val="007D699F"/>
    <w:rsid w:val="007D6C82"/>
    <w:rsid w:val="007D6D7B"/>
    <w:rsid w:val="007D748A"/>
    <w:rsid w:val="007D7A38"/>
    <w:rsid w:val="007D7A56"/>
    <w:rsid w:val="007D7CDA"/>
    <w:rsid w:val="007D7CF4"/>
    <w:rsid w:val="007D7D19"/>
    <w:rsid w:val="007D7ED7"/>
    <w:rsid w:val="007D7EDF"/>
    <w:rsid w:val="007D7FDE"/>
    <w:rsid w:val="007E0147"/>
    <w:rsid w:val="007E04D9"/>
    <w:rsid w:val="007E06DA"/>
    <w:rsid w:val="007E0765"/>
    <w:rsid w:val="007E0A8D"/>
    <w:rsid w:val="007E0B44"/>
    <w:rsid w:val="007E0D70"/>
    <w:rsid w:val="007E0D9F"/>
    <w:rsid w:val="007E0DBB"/>
    <w:rsid w:val="007E106D"/>
    <w:rsid w:val="007E1073"/>
    <w:rsid w:val="007E1185"/>
    <w:rsid w:val="007E13A9"/>
    <w:rsid w:val="007E153E"/>
    <w:rsid w:val="007E155D"/>
    <w:rsid w:val="007E16CF"/>
    <w:rsid w:val="007E18A6"/>
    <w:rsid w:val="007E18E8"/>
    <w:rsid w:val="007E1A4D"/>
    <w:rsid w:val="007E1BA2"/>
    <w:rsid w:val="007E1BBD"/>
    <w:rsid w:val="007E1C24"/>
    <w:rsid w:val="007E1CE8"/>
    <w:rsid w:val="007E1EBD"/>
    <w:rsid w:val="007E1ECF"/>
    <w:rsid w:val="007E22B7"/>
    <w:rsid w:val="007E237C"/>
    <w:rsid w:val="007E25B0"/>
    <w:rsid w:val="007E27A6"/>
    <w:rsid w:val="007E27C9"/>
    <w:rsid w:val="007E2907"/>
    <w:rsid w:val="007E2917"/>
    <w:rsid w:val="007E2968"/>
    <w:rsid w:val="007E29F8"/>
    <w:rsid w:val="007E2AC8"/>
    <w:rsid w:val="007E2BFB"/>
    <w:rsid w:val="007E2C06"/>
    <w:rsid w:val="007E2C54"/>
    <w:rsid w:val="007E2D04"/>
    <w:rsid w:val="007E2DB7"/>
    <w:rsid w:val="007E3011"/>
    <w:rsid w:val="007E320C"/>
    <w:rsid w:val="007E3359"/>
    <w:rsid w:val="007E3499"/>
    <w:rsid w:val="007E34DA"/>
    <w:rsid w:val="007E35E2"/>
    <w:rsid w:val="007E3ADB"/>
    <w:rsid w:val="007E3CC1"/>
    <w:rsid w:val="007E3E1A"/>
    <w:rsid w:val="007E4339"/>
    <w:rsid w:val="007E4484"/>
    <w:rsid w:val="007E4855"/>
    <w:rsid w:val="007E4A90"/>
    <w:rsid w:val="007E4ADF"/>
    <w:rsid w:val="007E4CF6"/>
    <w:rsid w:val="007E4D3D"/>
    <w:rsid w:val="007E4E3B"/>
    <w:rsid w:val="007E4E7D"/>
    <w:rsid w:val="007E4E7F"/>
    <w:rsid w:val="007E4E80"/>
    <w:rsid w:val="007E50FB"/>
    <w:rsid w:val="007E5323"/>
    <w:rsid w:val="007E55D0"/>
    <w:rsid w:val="007E58C4"/>
    <w:rsid w:val="007E5BB5"/>
    <w:rsid w:val="007E5D33"/>
    <w:rsid w:val="007E5DFC"/>
    <w:rsid w:val="007E5E1C"/>
    <w:rsid w:val="007E5E2D"/>
    <w:rsid w:val="007E5EAD"/>
    <w:rsid w:val="007E5EF2"/>
    <w:rsid w:val="007E5F5B"/>
    <w:rsid w:val="007E627A"/>
    <w:rsid w:val="007E6466"/>
    <w:rsid w:val="007E64D6"/>
    <w:rsid w:val="007E6704"/>
    <w:rsid w:val="007E6789"/>
    <w:rsid w:val="007E67D6"/>
    <w:rsid w:val="007E6991"/>
    <w:rsid w:val="007E69AF"/>
    <w:rsid w:val="007E6BD0"/>
    <w:rsid w:val="007E6F0E"/>
    <w:rsid w:val="007E6F3D"/>
    <w:rsid w:val="007E725D"/>
    <w:rsid w:val="007E7268"/>
    <w:rsid w:val="007E7308"/>
    <w:rsid w:val="007E735B"/>
    <w:rsid w:val="007E76F6"/>
    <w:rsid w:val="007E76F7"/>
    <w:rsid w:val="007E76FF"/>
    <w:rsid w:val="007E7AAB"/>
    <w:rsid w:val="007E7CC2"/>
    <w:rsid w:val="007E7E0B"/>
    <w:rsid w:val="007F00B0"/>
    <w:rsid w:val="007F01FA"/>
    <w:rsid w:val="007F01FD"/>
    <w:rsid w:val="007F04D8"/>
    <w:rsid w:val="007F0566"/>
    <w:rsid w:val="007F079C"/>
    <w:rsid w:val="007F097B"/>
    <w:rsid w:val="007F09CD"/>
    <w:rsid w:val="007F0A60"/>
    <w:rsid w:val="007F0A96"/>
    <w:rsid w:val="007F0B09"/>
    <w:rsid w:val="007F0B3C"/>
    <w:rsid w:val="007F0BA9"/>
    <w:rsid w:val="007F0DDE"/>
    <w:rsid w:val="007F0E42"/>
    <w:rsid w:val="007F10A5"/>
    <w:rsid w:val="007F1352"/>
    <w:rsid w:val="007F156D"/>
    <w:rsid w:val="007F1733"/>
    <w:rsid w:val="007F176B"/>
    <w:rsid w:val="007F18D6"/>
    <w:rsid w:val="007F1AA0"/>
    <w:rsid w:val="007F1F0C"/>
    <w:rsid w:val="007F1FCD"/>
    <w:rsid w:val="007F2294"/>
    <w:rsid w:val="007F259A"/>
    <w:rsid w:val="007F26B9"/>
    <w:rsid w:val="007F287B"/>
    <w:rsid w:val="007F2B60"/>
    <w:rsid w:val="007F2C26"/>
    <w:rsid w:val="007F2F3B"/>
    <w:rsid w:val="007F2F73"/>
    <w:rsid w:val="007F33C6"/>
    <w:rsid w:val="007F35CE"/>
    <w:rsid w:val="007F372D"/>
    <w:rsid w:val="007F384A"/>
    <w:rsid w:val="007F3DA1"/>
    <w:rsid w:val="007F3DF1"/>
    <w:rsid w:val="007F4001"/>
    <w:rsid w:val="007F418B"/>
    <w:rsid w:val="007F4327"/>
    <w:rsid w:val="007F43FF"/>
    <w:rsid w:val="007F4462"/>
    <w:rsid w:val="007F4618"/>
    <w:rsid w:val="007F47BF"/>
    <w:rsid w:val="007F47DD"/>
    <w:rsid w:val="007F4956"/>
    <w:rsid w:val="007F4959"/>
    <w:rsid w:val="007F4E59"/>
    <w:rsid w:val="007F4F7A"/>
    <w:rsid w:val="007F4FD4"/>
    <w:rsid w:val="007F5091"/>
    <w:rsid w:val="007F51B1"/>
    <w:rsid w:val="007F5337"/>
    <w:rsid w:val="007F56AA"/>
    <w:rsid w:val="007F5798"/>
    <w:rsid w:val="007F59AA"/>
    <w:rsid w:val="007F5D27"/>
    <w:rsid w:val="007F5E79"/>
    <w:rsid w:val="007F5FDD"/>
    <w:rsid w:val="007F63A2"/>
    <w:rsid w:val="007F64F1"/>
    <w:rsid w:val="007F660A"/>
    <w:rsid w:val="007F66BE"/>
    <w:rsid w:val="007F6748"/>
    <w:rsid w:val="007F6AF1"/>
    <w:rsid w:val="007F6C80"/>
    <w:rsid w:val="007F6ED8"/>
    <w:rsid w:val="007F6EEB"/>
    <w:rsid w:val="007F6F66"/>
    <w:rsid w:val="007F7065"/>
    <w:rsid w:val="007F7069"/>
    <w:rsid w:val="007F7357"/>
    <w:rsid w:val="007F74A8"/>
    <w:rsid w:val="007F7539"/>
    <w:rsid w:val="007F7587"/>
    <w:rsid w:val="007F763C"/>
    <w:rsid w:val="007F77A7"/>
    <w:rsid w:val="007F7899"/>
    <w:rsid w:val="007F7AEE"/>
    <w:rsid w:val="007F7B56"/>
    <w:rsid w:val="007F7BF8"/>
    <w:rsid w:val="007F7C67"/>
    <w:rsid w:val="007F7CAB"/>
    <w:rsid w:val="007F7D40"/>
    <w:rsid w:val="007F7D6A"/>
    <w:rsid w:val="007F7FB1"/>
    <w:rsid w:val="00800010"/>
    <w:rsid w:val="0080046B"/>
    <w:rsid w:val="00800579"/>
    <w:rsid w:val="00800698"/>
    <w:rsid w:val="0080075F"/>
    <w:rsid w:val="008007A6"/>
    <w:rsid w:val="008007EB"/>
    <w:rsid w:val="00800950"/>
    <w:rsid w:val="008009C1"/>
    <w:rsid w:val="00800B17"/>
    <w:rsid w:val="00800B61"/>
    <w:rsid w:val="00800BC3"/>
    <w:rsid w:val="00800E6C"/>
    <w:rsid w:val="00800F9C"/>
    <w:rsid w:val="0080105F"/>
    <w:rsid w:val="008011B7"/>
    <w:rsid w:val="008011D7"/>
    <w:rsid w:val="00801338"/>
    <w:rsid w:val="00801471"/>
    <w:rsid w:val="008015BC"/>
    <w:rsid w:val="00801623"/>
    <w:rsid w:val="00801854"/>
    <w:rsid w:val="008019EF"/>
    <w:rsid w:val="00801B99"/>
    <w:rsid w:val="00801BCB"/>
    <w:rsid w:val="00801D72"/>
    <w:rsid w:val="00801DCF"/>
    <w:rsid w:val="00801F71"/>
    <w:rsid w:val="00801F84"/>
    <w:rsid w:val="00802066"/>
    <w:rsid w:val="008020C0"/>
    <w:rsid w:val="00802134"/>
    <w:rsid w:val="0080218F"/>
    <w:rsid w:val="008021D3"/>
    <w:rsid w:val="008022A2"/>
    <w:rsid w:val="008024E9"/>
    <w:rsid w:val="00802524"/>
    <w:rsid w:val="00802877"/>
    <w:rsid w:val="008028B8"/>
    <w:rsid w:val="008028C8"/>
    <w:rsid w:val="00802A11"/>
    <w:rsid w:val="00802ACC"/>
    <w:rsid w:val="00802AD3"/>
    <w:rsid w:val="00802C8E"/>
    <w:rsid w:val="00803095"/>
    <w:rsid w:val="00803271"/>
    <w:rsid w:val="0080342D"/>
    <w:rsid w:val="008034B0"/>
    <w:rsid w:val="00803799"/>
    <w:rsid w:val="00803936"/>
    <w:rsid w:val="008039B8"/>
    <w:rsid w:val="008039FD"/>
    <w:rsid w:val="00803E26"/>
    <w:rsid w:val="00803F30"/>
    <w:rsid w:val="008041D9"/>
    <w:rsid w:val="00804252"/>
    <w:rsid w:val="008042C1"/>
    <w:rsid w:val="0080430F"/>
    <w:rsid w:val="00804325"/>
    <w:rsid w:val="008045D9"/>
    <w:rsid w:val="0080462A"/>
    <w:rsid w:val="00804721"/>
    <w:rsid w:val="00804904"/>
    <w:rsid w:val="00804B35"/>
    <w:rsid w:val="00804BE6"/>
    <w:rsid w:val="00804D6D"/>
    <w:rsid w:val="00804E66"/>
    <w:rsid w:val="0080500C"/>
    <w:rsid w:val="008050E2"/>
    <w:rsid w:val="00805590"/>
    <w:rsid w:val="00805697"/>
    <w:rsid w:val="008058A5"/>
    <w:rsid w:val="00805A4A"/>
    <w:rsid w:val="00805A7B"/>
    <w:rsid w:val="00805D62"/>
    <w:rsid w:val="00806183"/>
    <w:rsid w:val="008061E8"/>
    <w:rsid w:val="0080634D"/>
    <w:rsid w:val="008063FA"/>
    <w:rsid w:val="008067CD"/>
    <w:rsid w:val="00806818"/>
    <w:rsid w:val="00806822"/>
    <w:rsid w:val="0080682C"/>
    <w:rsid w:val="00806AC4"/>
    <w:rsid w:val="00806B12"/>
    <w:rsid w:val="00806B82"/>
    <w:rsid w:val="00806B96"/>
    <w:rsid w:val="00806E27"/>
    <w:rsid w:val="008070FB"/>
    <w:rsid w:val="008074ED"/>
    <w:rsid w:val="00807600"/>
    <w:rsid w:val="008076F4"/>
    <w:rsid w:val="0080773C"/>
    <w:rsid w:val="00807871"/>
    <w:rsid w:val="00807D11"/>
    <w:rsid w:val="00807D92"/>
    <w:rsid w:val="00807EA6"/>
    <w:rsid w:val="00807F36"/>
    <w:rsid w:val="00810218"/>
    <w:rsid w:val="008102B4"/>
    <w:rsid w:val="00810396"/>
    <w:rsid w:val="008104DB"/>
    <w:rsid w:val="00810587"/>
    <w:rsid w:val="00810635"/>
    <w:rsid w:val="00810642"/>
    <w:rsid w:val="008107BC"/>
    <w:rsid w:val="00810999"/>
    <w:rsid w:val="00810ADF"/>
    <w:rsid w:val="00810D1F"/>
    <w:rsid w:val="00810E1F"/>
    <w:rsid w:val="00810E2C"/>
    <w:rsid w:val="0081102B"/>
    <w:rsid w:val="00811039"/>
    <w:rsid w:val="00811A96"/>
    <w:rsid w:val="00811CA2"/>
    <w:rsid w:val="00811D27"/>
    <w:rsid w:val="00811E06"/>
    <w:rsid w:val="0081204A"/>
    <w:rsid w:val="00812055"/>
    <w:rsid w:val="0081219C"/>
    <w:rsid w:val="0081237C"/>
    <w:rsid w:val="00812648"/>
    <w:rsid w:val="00812712"/>
    <w:rsid w:val="0081281A"/>
    <w:rsid w:val="00812A56"/>
    <w:rsid w:val="00812BE2"/>
    <w:rsid w:val="00812C3F"/>
    <w:rsid w:val="00812D5C"/>
    <w:rsid w:val="00812E69"/>
    <w:rsid w:val="00812F71"/>
    <w:rsid w:val="00812FFA"/>
    <w:rsid w:val="00813039"/>
    <w:rsid w:val="00813064"/>
    <w:rsid w:val="00813451"/>
    <w:rsid w:val="008134A6"/>
    <w:rsid w:val="0081359C"/>
    <w:rsid w:val="00813601"/>
    <w:rsid w:val="00813774"/>
    <w:rsid w:val="008138C3"/>
    <w:rsid w:val="00813A7A"/>
    <w:rsid w:val="00813A96"/>
    <w:rsid w:val="00813AE8"/>
    <w:rsid w:val="00813B03"/>
    <w:rsid w:val="00813CD7"/>
    <w:rsid w:val="00813E97"/>
    <w:rsid w:val="00813F1E"/>
    <w:rsid w:val="00814085"/>
    <w:rsid w:val="00814121"/>
    <w:rsid w:val="008141EF"/>
    <w:rsid w:val="00814244"/>
    <w:rsid w:val="0081429D"/>
    <w:rsid w:val="0081429F"/>
    <w:rsid w:val="0081433B"/>
    <w:rsid w:val="008143FB"/>
    <w:rsid w:val="008147DD"/>
    <w:rsid w:val="00814838"/>
    <w:rsid w:val="00814C47"/>
    <w:rsid w:val="00814C82"/>
    <w:rsid w:val="00814DE5"/>
    <w:rsid w:val="00814E68"/>
    <w:rsid w:val="00814EE3"/>
    <w:rsid w:val="0081519D"/>
    <w:rsid w:val="00815321"/>
    <w:rsid w:val="0081534A"/>
    <w:rsid w:val="00815435"/>
    <w:rsid w:val="00815830"/>
    <w:rsid w:val="00815970"/>
    <w:rsid w:val="008159E8"/>
    <w:rsid w:val="008159F3"/>
    <w:rsid w:val="00815C32"/>
    <w:rsid w:val="00815C4A"/>
    <w:rsid w:val="00815E42"/>
    <w:rsid w:val="00816151"/>
    <w:rsid w:val="008164A9"/>
    <w:rsid w:val="0081651D"/>
    <w:rsid w:val="00816881"/>
    <w:rsid w:val="0081689A"/>
    <w:rsid w:val="008168CB"/>
    <w:rsid w:val="00816951"/>
    <w:rsid w:val="00816AAF"/>
    <w:rsid w:val="00816E31"/>
    <w:rsid w:val="00816E61"/>
    <w:rsid w:val="00816F4C"/>
    <w:rsid w:val="008170BC"/>
    <w:rsid w:val="00817204"/>
    <w:rsid w:val="008172E8"/>
    <w:rsid w:val="008173D9"/>
    <w:rsid w:val="008175EE"/>
    <w:rsid w:val="00817A1A"/>
    <w:rsid w:val="00817A4E"/>
    <w:rsid w:val="00817C2A"/>
    <w:rsid w:val="00817CD5"/>
    <w:rsid w:val="00817D97"/>
    <w:rsid w:val="00817E9A"/>
    <w:rsid w:val="008200FC"/>
    <w:rsid w:val="008201AF"/>
    <w:rsid w:val="008203E4"/>
    <w:rsid w:val="008203FE"/>
    <w:rsid w:val="008204D5"/>
    <w:rsid w:val="00820616"/>
    <w:rsid w:val="00820655"/>
    <w:rsid w:val="00820915"/>
    <w:rsid w:val="00820A3B"/>
    <w:rsid w:val="00820C19"/>
    <w:rsid w:val="00820C9E"/>
    <w:rsid w:val="00820F31"/>
    <w:rsid w:val="00820F32"/>
    <w:rsid w:val="00820F99"/>
    <w:rsid w:val="00820FE7"/>
    <w:rsid w:val="00821123"/>
    <w:rsid w:val="008214DF"/>
    <w:rsid w:val="0082155A"/>
    <w:rsid w:val="008217CB"/>
    <w:rsid w:val="00821D11"/>
    <w:rsid w:val="00821E0E"/>
    <w:rsid w:val="00821F21"/>
    <w:rsid w:val="00822474"/>
    <w:rsid w:val="00822492"/>
    <w:rsid w:val="008224AD"/>
    <w:rsid w:val="00822892"/>
    <w:rsid w:val="00822A54"/>
    <w:rsid w:val="00822AFB"/>
    <w:rsid w:val="00822B59"/>
    <w:rsid w:val="00822BB4"/>
    <w:rsid w:val="00822F0C"/>
    <w:rsid w:val="00822F77"/>
    <w:rsid w:val="0082394A"/>
    <w:rsid w:val="008239B3"/>
    <w:rsid w:val="00823BE2"/>
    <w:rsid w:val="00823D4C"/>
    <w:rsid w:val="00823DB6"/>
    <w:rsid w:val="00823E15"/>
    <w:rsid w:val="00823E41"/>
    <w:rsid w:val="00823F89"/>
    <w:rsid w:val="00824183"/>
    <w:rsid w:val="0082426A"/>
    <w:rsid w:val="00824313"/>
    <w:rsid w:val="008244DA"/>
    <w:rsid w:val="008245C8"/>
    <w:rsid w:val="008245CC"/>
    <w:rsid w:val="0082466D"/>
    <w:rsid w:val="00824815"/>
    <w:rsid w:val="00824850"/>
    <w:rsid w:val="008248DC"/>
    <w:rsid w:val="0082491E"/>
    <w:rsid w:val="00824C7B"/>
    <w:rsid w:val="00824D34"/>
    <w:rsid w:val="00824EDF"/>
    <w:rsid w:val="00825079"/>
    <w:rsid w:val="00825102"/>
    <w:rsid w:val="0082519E"/>
    <w:rsid w:val="00825545"/>
    <w:rsid w:val="0082554B"/>
    <w:rsid w:val="00825692"/>
    <w:rsid w:val="0082575D"/>
    <w:rsid w:val="00825768"/>
    <w:rsid w:val="00825775"/>
    <w:rsid w:val="008258DF"/>
    <w:rsid w:val="00825BC3"/>
    <w:rsid w:val="00825D50"/>
    <w:rsid w:val="00825DC3"/>
    <w:rsid w:val="00825E85"/>
    <w:rsid w:val="00825F7F"/>
    <w:rsid w:val="0082651D"/>
    <w:rsid w:val="0082664E"/>
    <w:rsid w:val="00826A90"/>
    <w:rsid w:val="00826BAE"/>
    <w:rsid w:val="00826E78"/>
    <w:rsid w:val="00826F43"/>
    <w:rsid w:val="00826F8D"/>
    <w:rsid w:val="00826F94"/>
    <w:rsid w:val="00826FBC"/>
    <w:rsid w:val="008270CC"/>
    <w:rsid w:val="008271A8"/>
    <w:rsid w:val="008272EA"/>
    <w:rsid w:val="00827406"/>
    <w:rsid w:val="008274DE"/>
    <w:rsid w:val="00827563"/>
    <w:rsid w:val="00827759"/>
    <w:rsid w:val="0082779E"/>
    <w:rsid w:val="008278BB"/>
    <w:rsid w:val="008278D8"/>
    <w:rsid w:val="0082791C"/>
    <w:rsid w:val="00827A19"/>
    <w:rsid w:val="00827B1E"/>
    <w:rsid w:val="00827CBB"/>
    <w:rsid w:val="00827EE6"/>
    <w:rsid w:val="0083036A"/>
    <w:rsid w:val="008303D0"/>
    <w:rsid w:val="0083047C"/>
    <w:rsid w:val="0083073E"/>
    <w:rsid w:val="00830761"/>
    <w:rsid w:val="0083087A"/>
    <w:rsid w:val="008309BD"/>
    <w:rsid w:val="00830A12"/>
    <w:rsid w:val="00830AED"/>
    <w:rsid w:val="00830D9E"/>
    <w:rsid w:val="00830EE4"/>
    <w:rsid w:val="0083110F"/>
    <w:rsid w:val="008311CD"/>
    <w:rsid w:val="008313A5"/>
    <w:rsid w:val="00831484"/>
    <w:rsid w:val="008314BC"/>
    <w:rsid w:val="0083153B"/>
    <w:rsid w:val="00831879"/>
    <w:rsid w:val="00831919"/>
    <w:rsid w:val="00831AF8"/>
    <w:rsid w:val="00831B07"/>
    <w:rsid w:val="00831B15"/>
    <w:rsid w:val="00831DA1"/>
    <w:rsid w:val="00831DA7"/>
    <w:rsid w:val="00831E3F"/>
    <w:rsid w:val="00831E75"/>
    <w:rsid w:val="00831F0D"/>
    <w:rsid w:val="00832256"/>
    <w:rsid w:val="0083246D"/>
    <w:rsid w:val="008325F9"/>
    <w:rsid w:val="0083265E"/>
    <w:rsid w:val="00832981"/>
    <w:rsid w:val="00832986"/>
    <w:rsid w:val="00832BEC"/>
    <w:rsid w:val="00832C84"/>
    <w:rsid w:val="00832D69"/>
    <w:rsid w:val="00832D97"/>
    <w:rsid w:val="00832DCD"/>
    <w:rsid w:val="00832F03"/>
    <w:rsid w:val="0083315A"/>
    <w:rsid w:val="0083319E"/>
    <w:rsid w:val="00833278"/>
    <w:rsid w:val="008336ED"/>
    <w:rsid w:val="008337DC"/>
    <w:rsid w:val="00833846"/>
    <w:rsid w:val="008338B7"/>
    <w:rsid w:val="008338BF"/>
    <w:rsid w:val="00833B25"/>
    <w:rsid w:val="00833B40"/>
    <w:rsid w:val="00834311"/>
    <w:rsid w:val="008344E1"/>
    <w:rsid w:val="00834644"/>
    <w:rsid w:val="0083469C"/>
    <w:rsid w:val="008348D0"/>
    <w:rsid w:val="008349AC"/>
    <w:rsid w:val="00834B5A"/>
    <w:rsid w:val="00834C0A"/>
    <w:rsid w:val="00834C9B"/>
    <w:rsid w:val="00834DF6"/>
    <w:rsid w:val="00835123"/>
    <w:rsid w:val="008353B9"/>
    <w:rsid w:val="008353CF"/>
    <w:rsid w:val="008354C7"/>
    <w:rsid w:val="0083557D"/>
    <w:rsid w:val="0083569E"/>
    <w:rsid w:val="00835A23"/>
    <w:rsid w:val="00835CD6"/>
    <w:rsid w:val="00835D9F"/>
    <w:rsid w:val="00835E80"/>
    <w:rsid w:val="0083612D"/>
    <w:rsid w:val="00836149"/>
    <w:rsid w:val="008361D7"/>
    <w:rsid w:val="00836220"/>
    <w:rsid w:val="008362B5"/>
    <w:rsid w:val="008362D4"/>
    <w:rsid w:val="008363B5"/>
    <w:rsid w:val="00836753"/>
    <w:rsid w:val="00836794"/>
    <w:rsid w:val="008368C1"/>
    <w:rsid w:val="00836969"/>
    <w:rsid w:val="00836991"/>
    <w:rsid w:val="00836B2E"/>
    <w:rsid w:val="00836B88"/>
    <w:rsid w:val="00836C6F"/>
    <w:rsid w:val="00836E33"/>
    <w:rsid w:val="00836EAD"/>
    <w:rsid w:val="00836EB1"/>
    <w:rsid w:val="008370FC"/>
    <w:rsid w:val="008371AE"/>
    <w:rsid w:val="008371FC"/>
    <w:rsid w:val="008372FF"/>
    <w:rsid w:val="00837312"/>
    <w:rsid w:val="00837447"/>
    <w:rsid w:val="00837593"/>
    <w:rsid w:val="0083773C"/>
    <w:rsid w:val="00837761"/>
    <w:rsid w:val="00837837"/>
    <w:rsid w:val="008379B8"/>
    <w:rsid w:val="00837A6E"/>
    <w:rsid w:val="00837B01"/>
    <w:rsid w:val="00837B64"/>
    <w:rsid w:val="00837CB7"/>
    <w:rsid w:val="00837EA6"/>
    <w:rsid w:val="00840012"/>
    <w:rsid w:val="0084004F"/>
    <w:rsid w:val="008400B6"/>
    <w:rsid w:val="0084013A"/>
    <w:rsid w:val="00840157"/>
    <w:rsid w:val="008402B1"/>
    <w:rsid w:val="0084032B"/>
    <w:rsid w:val="00840343"/>
    <w:rsid w:val="0084042D"/>
    <w:rsid w:val="00840520"/>
    <w:rsid w:val="0084057E"/>
    <w:rsid w:val="00840799"/>
    <w:rsid w:val="008407CA"/>
    <w:rsid w:val="008408E0"/>
    <w:rsid w:val="00840942"/>
    <w:rsid w:val="00840995"/>
    <w:rsid w:val="00841029"/>
    <w:rsid w:val="008412DD"/>
    <w:rsid w:val="00841303"/>
    <w:rsid w:val="008414F4"/>
    <w:rsid w:val="0084157D"/>
    <w:rsid w:val="00841748"/>
    <w:rsid w:val="0084179B"/>
    <w:rsid w:val="00841929"/>
    <w:rsid w:val="008419DA"/>
    <w:rsid w:val="00841ACB"/>
    <w:rsid w:val="00841ADA"/>
    <w:rsid w:val="00841ADF"/>
    <w:rsid w:val="00841C36"/>
    <w:rsid w:val="00841CF8"/>
    <w:rsid w:val="00841DFE"/>
    <w:rsid w:val="00842062"/>
    <w:rsid w:val="00842112"/>
    <w:rsid w:val="00842172"/>
    <w:rsid w:val="008421D8"/>
    <w:rsid w:val="008425AC"/>
    <w:rsid w:val="0084263E"/>
    <w:rsid w:val="00842681"/>
    <w:rsid w:val="00842734"/>
    <w:rsid w:val="0084273A"/>
    <w:rsid w:val="0084280D"/>
    <w:rsid w:val="0084297E"/>
    <w:rsid w:val="00842A89"/>
    <w:rsid w:val="00842B03"/>
    <w:rsid w:val="00842BAB"/>
    <w:rsid w:val="00842DD2"/>
    <w:rsid w:val="00842EF0"/>
    <w:rsid w:val="00842F20"/>
    <w:rsid w:val="0084301D"/>
    <w:rsid w:val="00843020"/>
    <w:rsid w:val="008432A1"/>
    <w:rsid w:val="008432E9"/>
    <w:rsid w:val="0084335D"/>
    <w:rsid w:val="00843370"/>
    <w:rsid w:val="008433F4"/>
    <w:rsid w:val="00843407"/>
    <w:rsid w:val="008434DB"/>
    <w:rsid w:val="00843660"/>
    <w:rsid w:val="00843721"/>
    <w:rsid w:val="00843894"/>
    <w:rsid w:val="008438CE"/>
    <w:rsid w:val="00843996"/>
    <w:rsid w:val="00843B81"/>
    <w:rsid w:val="00843D56"/>
    <w:rsid w:val="00843D86"/>
    <w:rsid w:val="00844125"/>
    <w:rsid w:val="008442AD"/>
    <w:rsid w:val="0084445B"/>
    <w:rsid w:val="00844639"/>
    <w:rsid w:val="008448DB"/>
    <w:rsid w:val="00844AD4"/>
    <w:rsid w:val="00844CF4"/>
    <w:rsid w:val="00844D88"/>
    <w:rsid w:val="00844E41"/>
    <w:rsid w:val="0084504B"/>
    <w:rsid w:val="0084515C"/>
    <w:rsid w:val="00845341"/>
    <w:rsid w:val="00845553"/>
    <w:rsid w:val="008455D9"/>
    <w:rsid w:val="0084578C"/>
    <w:rsid w:val="008457AA"/>
    <w:rsid w:val="00845A0A"/>
    <w:rsid w:val="00845A4E"/>
    <w:rsid w:val="00845D1E"/>
    <w:rsid w:val="00845D4A"/>
    <w:rsid w:val="00845E5A"/>
    <w:rsid w:val="00845FF8"/>
    <w:rsid w:val="00846038"/>
    <w:rsid w:val="008460E4"/>
    <w:rsid w:val="008462EA"/>
    <w:rsid w:val="0084651C"/>
    <w:rsid w:val="00846709"/>
    <w:rsid w:val="0084671D"/>
    <w:rsid w:val="00846808"/>
    <w:rsid w:val="00846816"/>
    <w:rsid w:val="008468AF"/>
    <w:rsid w:val="008468B7"/>
    <w:rsid w:val="00846968"/>
    <w:rsid w:val="00846B7C"/>
    <w:rsid w:val="00846D28"/>
    <w:rsid w:val="0084722B"/>
    <w:rsid w:val="008474C9"/>
    <w:rsid w:val="0084772A"/>
    <w:rsid w:val="00847AFC"/>
    <w:rsid w:val="00847B85"/>
    <w:rsid w:val="00847BBE"/>
    <w:rsid w:val="00847C04"/>
    <w:rsid w:val="00847C69"/>
    <w:rsid w:val="00847CAA"/>
    <w:rsid w:val="00847ED5"/>
    <w:rsid w:val="00847EE9"/>
    <w:rsid w:val="00847FDF"/>
    <w:rsid w:val="0085004D"/>
    <w:rsid w:val="00850103"/>
    <w:rsid w:val="008501CA"/>
    <w:rsid w:val="008502D1"/>
    <w:rsid w:val="00850501"/>
    <w:rsid w:val="0085054A"/>
    <w:rsid w:val="008505AD"/>
    <w:rsid w:val="008506D9"/>
    <w:rsid w:val="008507E9"/>
    <w:rsid w:val="00850836"/>
    <w:rsid w:val="00850906"/>
    <w:rsid w:val="00850921"/>
    <w:rsid w:val="00850E8D"/>
    <w:rsid w:val="00850ED0"/>
    <w:rsid w:val="0085113D"/>
    <w:rsid w:val="0085116A"/>
    <w:rsid w:val="0085118A"/>
    <w:rsid w:val="0085121B"/>
    <w:rsid w:val="00851375"/>
    <w:rsid w:val="008514D6"/>
    <w:rsid w:val="008514DE"/>
    <w:rsid w:val="00851C9C"/>
    <w:rsid w:val="00851F98"/>
    <w:rsid w:val="00851FF0"/>
    <w:rsid w:val="00852186"/>
    <w:rsid w:val="0085232F"/>
    <w:rsid w:val="008523B7"/>
    <w:rsid w:val="0085245F"/>
    <w:rsid w:val="008525E8"/>
    <w:rsid w:val="00852635"/>
    <w:rsid w:val="0085270D"/>
    <w:rsid w:val="00852754"/>
    <w:rsid w:val="0085278B"/>
    <w:rsid w:val="00852824"/>
    <w:rsid w:val="008528ED"/>
    <w:rsid w:val="00852C56"/>
    <w:rsid w:val="00852C9C"/>
    <w:rsid w:val="008532B3"/>
    <w:rsid w:val="008532CF"/>
    <w:rsid w:val="00853545"/>
    <w:rsid w:val="008536EF"/>
    <w:rsid w:val="00853855"/>
    <w:rsid w:val="008538F6"/>
    <w:rsid w:val="008539F9"/>
    <w:rsid w:val="00853A97"/>
    <w:rsid w:val="00853BD6"/>
    <w:rsid w:val="00853F31"/>
    <w:rsid w:val="00853F8B"/>
    <w:rsid w:val="0085439C"/>
    <w:rsid w:val="008543A2"/>
    <w:rsid w:val="0085465F"/>
    <w:rsid w:val="00854A2C"/>
    <w:rsid w:val="00854BDE"/>
    <w:rsid w:val="00854CDC"/>
    <w:rsid w:val="0085505A"/>
    <w:rsid w:val="008550EB"/>
    <w:rsid w:val="0085515E"/>
    <w:rsid w:val="00855171"/>
    <w:rsid w:val="008551C3"/>
    <w:rsid w:val="00855314"/>
    <w:rsid w:val="00855439"/>
    <w:rsid w:val="00855445"/>
    <w:rsid w:val="0085549F"/>
    <w:rsid w:val="008554A8"/>
    <w:rsid w:val="00855766"/>
    <w:rsid w:val="008558AD"/>
    <w:rsid w:val="00855A99"/>
    <w:rsid w:val="00856333"/>
    <w:rsid w:val="008563D5"/>
    <w:rsid w:val="008563F8"/>
    <w:rsid w:val="0085653C"/>
    <w:rsid w:val="00856680"/>
    <w:rsid w:val="00856782"/>
    <w:rsid w:val="008567AD"/>
    <w:rsid w:val="00856873"/>
    <w:rsid w:val="00856CDB"/>
    <w:rsid w:val="008572C7"/>
    <w:rsid w:val="0085735F"/>
    <w:rsid w:val="00857634"/>
    <w:rsid w:val="008576D1"/>
    <w:rsid w:val="00857832"/>
    <w:rsid w:val="00857883"/>
    <w:rsid w:val="0085796A"/>
    <w:rsid w:val="00857C6B"/>
    <w:rsid w:val="00857C97"/>
    <w:rsid w:val="00857EF2"/>
    <w:rsid w:val="00857FD5"/>
    <w:rsid w:val="00860163"/>
    <w:rsid w:val="00860166"/>
    <w:rsid w:val="00860252"/>
    <w:rsid w:val="008603D5"/>
    <w:rsid w:val="008605E2"/>
    <w:rsid w:val="0086082F"/>
    <w:rsid w:val="008608E9"/>
    <w:rsid w:val="00860AFA"/>
    <w:rsid w:val="00860B91"/>
    <w:rsid w:val="00860BE2"/>
    <w:rsid w:val="00860C7E"/>
    <w:rsid w:val="00860DE7"/>
    <w:rsid w:val="00860E81"/>
    <w:rsid w:val="00860EDD"/>
    <w:rsid w:val="00860F83"/>
    <w:rsid w:val="00861277"/>
    <w:rsid w:val="0086138E"/>
    <w:rsid w:val="00861409"/>
    <w:rsid w:val="00861656"/>
    <w:rsid w:val="008616A1"/>
    <w:rsid w:val="008616DF"/>
    <w:rsid w:val="00861756"/>
    <w:rsid w:val="00861BC5"/>
    <w:rsid w:val="00861D22"/>
    <w:rsid w:val="00861F21"/>
    <w:rsid w:val="00861F38"/>
    <w:rsid w:val="00861FBA"/>
    <w:rsid w:val="008625F4"/>
    <w:rsid w:val="0086272A"/>
    <w:rsid w:val="00862870"/>
    <w:rsid w:val="00862978"/>
    <w:rsid w:val="0086297C"/>
    <w:rsid w:val="00862A01"/>
    <w:rsid w:val="00862A5C"/>
    <w:rsid w:val="00862B38"/>
    <w:rsid w:val="00862B91"/>
    <w:rsid w:val="00862BAD"/>
    <w:rsid w:val="00862BAE"/>
    <w:rsid w:val="00863061"/>
    <w:rsid w:val="0086318C"/>
    <w:rsid w:val="00863207"/>
    <w:rsid w:val="008632C9"/>
    <w:rsid w:val="008634BF"/>
    <w:rsid w:val="0086355A"/>
    <w:rsid w:val="00863644"/>
    <w:rsid w:val="00863688"/>
    <w:rsid w:val="0086372F"/>
    <w:rsid w:val="00863828"/>
    <w:rsid w:val="008638AB"/>
    <w:rsid w:val="008638E3"/>
    <w:rsid w:val="00863AA0"/>
    <w:rsid w:val="00863BF9"/>
    <w:rsid w:val="00863D42"/>
    <w:rsid w:val="00863F63"/>
    <w:rsid w:val="00864055"/>
    <w:rsid w:val="00864081"/>
    <w:rsid w:val="00864131"/>
    <w:rsid w:val="00864627"/>
    <w:rsid w:val="00864660"/>
    <w:rsid w:val="008648FB"/>
    <w:rsid w:val="0086496F"/>
    <w:rsid w:val="008649FD"/>
    <w:rsid w:val="00864A1F"/>
    <w:rsid w:val="00864FB7"/>
    <w:rsid w:val="0086500F"/>
    <w:rsid w:val="0086501A"/>
    <w:rsid w:val="0086513F"/>
    <w:rsid w:val="00865213"/>
    <w:rsid w:val="00865229"/>
    <w:rsid w:val="008652CE"/>
    <w:rsid w:val="00865329"/>
    <w:rsid w:val="008653E6"/>
    <w:rsid w:val="0086541A"/>
    <w:rsid w:val="008657ED"/>
    <w:rsid w:val="00865801"/>
    <w:rsid w:val="00865A12"/>
    <w:rsid w:val="00865B47"/>
    <w:rsid w:val="00865C42"/>
    <w:rsid w:val="00865D82"/>
    <w:rsid w:val="00865E79"/>
    <w:rsid w:val="00865ECE"/>
    <w:rsid w:val="00865FFE"/>
    <w:rsid w:val="00866032"/>
    <w:rsid w:val="00866238"/>
    <w:rsid w:val="00866383"/>
    <w:rsid w:val="00866420"/>
    <w:rsid w:val="00866488"/>
    <w:rsid w:val="008665A0"/>
    <w:rsid w:val="008666B3"/>
    <w:rsid w:val="0086689F"/>
    <w:rsid w:val="00866B19"/>
    <w:rsid w:val="00866B63"/>
    <w:rsid w:val="00866BFD"/>
    <w:rsid w:val="00866CCA"/>
    <w:rsid w:val="0086712D"/>
    <w:rsid w:val="00867281"/>
    <w:rsid w:val="00867319"/>
    <w:rsid w:val="00867495"/>
    <w:rsid w:val="008674CE"/>
    <w:rsid w:val="008675C4"/>
    <w:rsid w:val="008676F3"/>
    <w:rsid w:val="0086774A"/>
    <w:rsid w:val="008677DF"/>
    <w:rsid w:val="00867A43"/>
    <w:rsid w:val="00867BBF"/>
    <w:rsid w:val="00867BD2"/>
    <w:rsid w:val="00867D1C"/>
    <w:rsid w:val="00867D6D"/>
    <w:rsid w:val="00867E31"/>
    <w:rsid w:val="00867E35"/>
    <w:rsid w:val="00867F2F"/>
    <w:rsid w:val="0087013C"/>
    <w:rsid w:val="008701E3"/>
    <w:rsid w:val="00870230"/>
    <w:rsid w:val="0087028A"/>
    <w:rsid w:val="00870338"/>
    <w:rsid w:val="00870384"/>
    <w:rsid w:val="008704F9"/>
    <w:rsid w:val="00870738"/>
    <w:rsid w:val="008707C0"/>
    <w:rsid w:val="0087080F"/>
    <w:rsid w:val="00870841"/>
    <w:rsid w:val="00870C34"/>
    <w:rsid w:val="00870C62"/>
    <w:rsid w:val="00870D75"/>
    <w:rsid w:val="00870F73"/>
    <w:rsid w:val="0087105A"/>
    <w:rsid w:val="008710F3"/>
    <w:rsid w:val="008712B2"/>
    <w:rsid w:val="00871323"/>
    <w:rsid w:val="00871487"/>
    <w:rsid w:val="00871671"/>
    <w:rsid w:val="008716D1"/>
    <w:rsid w:val="00871723"/>
    <w:rsid w:val="00871764"/>
    <w:rsid w:val="00871820"/>
    <w:rsid w:val="00871CD1"/>
    <w:rsid w:val="00871CE9"/>
    <w:rsid w:val="00871DE3"/>
    <w:rsid w:val="00871EB2"/>
    <w:rsid w:val="00871EBD"/>
    <w:rsid w:val="008720D9"/>
    <w:rsid w:val="008721D9"/>
    <w:rsid w:val="00872264"/>
    <w:rsid w:val="00872752"/>
    <w:rsid w:val="00872991"/>
    <w:rsid w:val="008729E3"/>
    <w:rsid w:val="00872AA8"/>
    <w:rsid w:val="00872B76"/>
    <w:rsid w:val="00872C09"/>
    <w:rsid w:val="00872C38"/>
    <w:rsid w:val="00872D88"/>
    <w:rsid w:val="00872EEE"/>
    <w:rsid w:val="008731BD"/>
    <w:rsid w:val="008731DB"/>
    <w:rsid w:val="0087325C"/>
    <w:rsid w:val="0087337B"/>
    <w:rsid w:val="008734F1"/>
    <w:rsid w:val="0087350A"/>
    <w:rsid w:val="00873562"/>
    <w:rsid w:val="00873799"/>
    <w:rsid w:val="0087379E"/>
    <w:rsid w:val="008739FB"/>
    <w:rsid w:val="00873A20"/>
    <w:rsid w:val="00873B9F"/>
    <w:rsid w:val="00873CF9"/>
    <w:rsid w:val="00873D1D"/>
    <w:rsid w:val="00873E15"/>
    <w:rsid w:val="00873EEB"/>
    <w:rsid w:val="00873FE1"/>
    <w:rsid w:val="00873FF5"/>
    <w:rsid w:val="00874178"/>
    <w:rsid w:val="008741DA"/>
    <w:rsid w:val="0087436B"/>
    <w:rsid w:val="008748AE"/>
    <w:rsid w:val="00874C5B"/>
    <w:rsid w:val="00874C95"/>
    <w:rsid w:val="00874D8B"/>
    <w:rsid w:val="00875041"/>
    <w:rsid w:val="0087547D"/>
    <w:rsid w:val="008755B3"/>
    <w:rsid w:val="008755BC"/>
    <w:rsid w:val="0087589D"/>
    <w:rsid w:val="0087599D"/>
    <w:rsid w:val="008759AF"/>
    <w:rsid w:val="00875A29"/>
    <w:rsid w:val="00875B5E"/>
    <w:rsid w:val="00875BB0"/>
    <w:rsid w:val="00875C16"/>
    <w:rsid w:val="00875DE0"/>
    <w:rsid w:val="00875EE7"/>
    <w:rsid w:val="00875EF6"/>
    <w:rsid w:val="00875F56"/>
    <w:rsid w:val="00875F7D"/>
    <w:rsid w:val="0087606B"/>
    <w:rsid w:val="0087629A"/>
    <w:rsid w:val="008764B6"/>
    <w:rsid w:val="00876694"/>
    <w:rsid w:val="008766AA"/>
    <w:rsid w:val="008768E9"/>
    <w:rsid w:val="008768F5"/>
    <w:rsid w:val="00876A87"/>
    <w:rsid w:val="00876C09"/>
    <w:rsid w:val="00876CA7"/>
    <w:rsid w:val="00876D2F"/>
    <w:rsid w:val="00876D42"/>
    <w:rsid w:val="00876F2D"/>
    <w:rsid w:val="00876F5F"/>
    <w:rsid w:val="00877378"/>
    <w:rsid w:val="008774E0"/>
    <w:rsid w:val="00877510"/>
    <w:rsid w:val="00877664"/>
    <w:rsid w:val="00877877"/>
    <w:rsid w:val="008778F9"/>
    <w:rsid w:val="008779C1"/>
    <w:rsid w:val="008779ED"/>
    <w:rsid w:val="00877A7E"/>
    <w:rsid w:val="00877C34"/>
    <w:rsid w:val="00877FF3"/>
    <w:rsid w:val="008805A8"/>
    <w:rsid w:val="008806E5"/>
    <w:rsid w:val="008807AF"/>
    <w:rsid w:val="00880C7B"/>
    <w:rsid w:val="00880E36"/>
    <w:rsid w:val="00881137"/>
    <w:rsid w:val="008813B2"/>
    <w:rsid w:val="00881465"/>
    <w:rsid w:val="00881594"/>
    <w:rsid w:val="008815A2"/>
    <w:rsid w:val="008815DF"/>
    <w:rsid w:val="00881716"/>
    <w:rsid w:val="008819AB"/>
    <w:rsid w:val="00881E6F"/>
    <w:rsid w:val="00881E8E"/>
    <w:rsid w:val="0088218B"/>
    <w:rsid w:val="008821BF"/>
    <w:rsid w:val="008822AE"/>
    <w:rsid w:val="00882411"/>
    <w:rsid w:val="008826CC"/>
    <w:rsid w:val="008826F0"/>
    <w:rsid w:val="00882704"/>
    <w:rsid w:val="00882A7B"/>
    <w:rsid w:val="00882DE0"/>
    <w:rsid w:val="00882ED4"/>
    <w:rsid w:val="00883021"/>
    <w:rsid w:val="008833C7"/>
    <w:rsid w:val="008834BA"/>
    <w:rsid w:val="00883588"/>
    <w:rsid w:val="008838A6"/>
    <w:rsid w:val="00883914"/>
    <w:rsid w:val="00883AB0"/>
    <w:rsid w:val="00883C73"/>
    <w:rsid w:val="00883CFB"/>
    <w:rsid w:val="00883E89"/>
    <w:rsid w:val="00883EEC"/>
    <w:rsid w:val="008840E5"/>
    <w:rsid w:val="0088454D"/>
    <w:rsid w:val="00884A56"/>
    <w:rsid w:val="00884A7A"/>
    <w:rsid w:val="00884BF5"/>
    <w:rsid w:val="00884CE1"/>
    <w:rsid w:val="00884EE9"/>
    <w:rsid w:val="00884FBB"/>
    <w:rsid w:val="00885B38"/>
    <w:rsid w:val="00885CFA"/>
    <w:rsid w:val="00885D2B"/>
    <w:rsid w:val="00885E68"/>
    <w:rsid w:val="00885F55"/>
    <w:rsid w:val="00885F7D"/>
    <w:rsid w:val="00886484"/>
    <w:rsid w:val="008865D9"/>
    <w:rsid w:val="008866C4"/>
    <w:rsid w:val="008868E4"/>
    <w:rsid w:val="00886A16"/>
    <w:rsid w:val="00886A65"/>
    <w:rsid w:val="00886BC6"/>
    <w:rsid w:val="00886F50"/>
    <w:rsid w:val="00886FD4"/>
    <w:rsid w:val="00887087"/>
    <w:rsid w:val="0088711E"/>
    <w:rsid w:val="00887199"/>
    <w:rsid w:val="00887212"/>
    <w:rsid w:val="008874BA"/>
    <w:rsid w:val="00887503"/>
    <w:rsid w:val="008875FA"/>
    <w:rsid w:val="00887A37"/>
    <w:rsid w:val="00887AA8"/>
    <w:rsid w:val="00887ABB"/>
    <w:rsid w:val="00887AD4"/>
    <w:rsid w:val="00887B28"/>
    <w:rsid w:val="00887B2E"/>
    <w:rsid w:val="00887CEA"/>
    <w:rsid w:val="008904C1"/>
    <w:rsid w:val="008904F5"/>
    <w:rsid w:val="008905CF"/>
    <w:rsid w:val="0089062A"/>
    <w:rsid w:val="00890B33"/>
    <w:rsid w:val="00890B41"/>
    <w:rsid w:val="00890DC8"/>
    <w:rsid w:val="00890EA8"/>
    <w:rsid w:val="00890F57"/>
    <w:rsid w:val="00891020"/>
    <w:rsid w:val="0089105C"/>
    <w:rsid w:val="00891277"/>
    <w:rsid w:val="0089144C"/>
    <w:rsid w:val="00891621"/>
    <w:rsid w:val="00891844"/>
    <w:rsid w:val="008918CC"/>
    <w:rsid w:val="0089196C"/>
    <w:rsid w:val="008919C3"/>
    <w:rsid w:val="00891B7F"/>
    <w:rsid w:val="00891C36"/>
    <w:rsid w:val="00891F1D"/>
    <w:rsid w:val="008921FD"/>
    <w:rsid w:val="00892238"/>
    <w:rsid w:val="008922E0"/>
    <w:rsid w:val="00892300"/>
    <w:rsid w:val="00892405"/>
    <w:rsid w:val="0089241E"/>
    <w:rsid w:val="008926B6"/>
    <w:rsid w:val="00892B04"/>
    <w:rsid w:val="00892E2D"/>
    <w:rsid w:val="00892F29"/>
    <w:rsid w:val="00892F2A"/>
    <w:rsid w:val="0089310B"/>
    <w:rsid w:val="00893524"/>
    <w:rsid w:val="008935F7"/>
    <w:rsid w:val="008936E6"/>
    <w:rsid w:val="00893726"/>
    <w:rsid w:val="00893852"/>
    <w:rsid w:val="00893933"/>
    <w:rsid w:val="008939B1"/>
    <w:rsid w:val="00893C2F"/>
    <w:rsid w:val="00893EC0"/>
    <w:rsid w:val="00893FA3"/>
    <w:rsid w:val="00893FA7"/>
    <w:rsid w:val="00894091"/>
    <w:rsid w:val="008943E5"/>
    <w:rsid w:val="0089462C"/>
    <w:rsid w:val="0089475E"/>
    <w:rsid w:val="0089479A"/>
    <w:rsid w:val="008947D9"/>
    <w:rsid w:val="008947F9"/>
    <w:rsid w:val="008949B6"/>
    <w:rsid w:val="00894A13"/>
    <w:rsid w:val="00894ADA"/>
    <w:rsid w:val="00894BBB"/>
    <w:rsid w:val="00894BE0"/>
    <w:rsid w:val="00894C3D"/>
    <w:rsid w:val="00894E03"/>
    <w:rsid w:val="00895108"/>
    <w:rsid w:val="0089518D"/>
    <w:rsid w:val="008952DA"/>
    <w:rsid w:val="00895385"/>
    <w:rsid w:val="008954D4"/>
    <w:rsid w:val="00895592"/>
    <w:rsid w:val="00895719"/>
    <w:rsid w:val="008959AF"/>
    <w:rsid w:val="008959E2"/>
    <w:rsid w:val="00895AE8"/>
    <w:rsid w:val="00895B2A"/>
    <w:rsid w:val="00895C39"/>
    <w:rsid w:val="00895D23"/>
    <w:rsid w:val="00895F2C"/>
    <w:rsid w:val="00895F60"/>
    <w:rsid w:val="00896076"/>
    <w:rsid w:val="0089607C"/>
    <w:rsid w:val="00896256"/>
    <w:rsid w:val="008966AB"/>
    <w:rsid w:val="008966F4"/>
    <w:rsid w:val="00896877"/>
    <w:rsid w:val="008968FC"/>
    <w:rsid w:val="0089695F"/>
    <w:rsid w:val="00896A5E"/>
    <w:rsid w:val="00896AE5"/>
    <w:rsid w:val="00896C98"/>
    <w:rsid w:val="00896CAC"/>
    <w:rsid w:val="00896DA8"/>
    <w:rsid w:val="00896F26"/>
    <w:rsid w:val="00897079"/>
    <w:rsid w:val="00897084"/>
    <w:rsid w:val="00897194"/>
    <w:rsid w:val="00897277"/>
    <w:rsid w:val="008972D7"/>
    <w:rsid w:val="00897496"/>
    <w:rsid w:val="00897584"/>
    <w:rsid w:val="008975DB"/>
    <w:rsid w:val="008975E6"/>
    <w:rsid w:val="00897618"/>
    <w:rsid w:val="008976FD"/>
    <w:rsid w:val="00897844"/>
    <w:rsid w:val="00897936"/>
    <w:rsid w:val="00897937"/>
    <w:rsid w:val="00897938"/>
    <w:rsid w:val="00897B80"/>
    <w:rsid w:val="00897C2F"/>
    <w:rsid w:val="00897D0D"/>
    <w:rsid w:val="00897DE5"/>
    <w:rsid w:val="00897EF7"/>
    <w:rsid w:val="00897EFB"/>
    <w:rsid w:val="008A00A9"/>
    <w:rsid w:val="008A017E"/>
    <w:rsid w:val="008A01F4"/>
    <w:rsid w:val="008A0207"/>
    <w:rsid w:val="008A0220"/>
    <w:rsid w:val="008A02B3"/>
    <w:rsid w:val="008A03C5"/>
    <w:rsid w:val="008A045B"/>
    <w:rsid w:val="008A0701"/>
    <w:rsid w:val="008A0751"/>
    <w:rsid w:val="008A0D89"/>
    <w:rsid w:val="008A0DA0"/>
    <w:rsid w:val="008A0F96"/>
    <w:rsid w:val="008A0FE7"/>
    <w:rsid w:val="008A1188"/>
    <w:rsid w:val="008A11CA"/>
    <w:rsid w:val="008A1260"/>
    <w:rsid w:val="008A1296"/>
    <w:rsid w:val="008A1806"/>
    <w:rsid w:val="008A189A"/>
    <w:rsid w:val="008A199B"/>
    <w:rsid w:val="008A19AC"/>
    <w:rsid w:val="008A1AB9"/>
    <w:rsid w:val="008A1D75"/>
    <w:rsid w:val="008A1FCE"/>
    <w:rsid w:val="008A1FD4"/>
    <w:rsid w:val="008A2019"/>
    <w:rsid w:val="008A20F7"/>
    <w:rsid w:val="008A2170"/>
    <w:rsid w:val="008A2516"/>
    <w:rsid w:val="008A2547"/>
    <w:rsid w:val="008A2659"/>
    <w:rsid w:val="008A2921"/>
    <w:rsid w:val="008A2A84"/>
    <w:rsid w:val="008A2B6F"/>
    <w:rsid w:val="008A302A"/>
    <w:rsid w:val="008A303B"/>
    <w:rsid w:val="008A30EE"/>
    <w:rsid w:val="008A316E"/>
    <w:rsid w:val="008A3542"/>
    <w:rsid w:val="008A35D7"/>
    <w:rsid w:val="008A3621"/>
    <w:rsid w:val="008A37E6"/>
    <w:rsid w:val="008A3805"/>
    <w:rsid w:val="008A3AE4"/>
    <w:rsid w:val="008A3F32"/>
    <w:rsid w:val="008A406E"/>
    <w:rsid w:val="008A40DB"/>
    <w:rsid w:val="008A434A"/>
    <w:rsid w:val="008A4443"/>
    <w:rsid w:val="008A446F"/>
    <w:rsid w:val="008A459A"/>
    <w:rsid w:val="008A4663"/>
    <w:rsid w:val="008A4A14"/>
    <w:rsid w:val="008A4A47"/>
    <w:rsid w:val="008A4A94"/>
    <w:rsid w:val="008A4C83"/>
    <w:rsid w:val="008A4D21"/>
    <w:rsid w:val="008A4D36"/>
    <w:rsid w:val="008A524F"/>
    <w:rsid w:val="008A5403"/>
    <w:rsid w:val="008A5606"/>
    <w:rsid w:val="008A560D"/>
    <w:rsid w:val="008A563B"/>
    <w:rsid w:val="008A576E"/>
    <w:rsid w:val="008A578A"/>
    <w:rsid w:val="008A584E"/>
    <w:rsid w:val="008A5A21"/>
    <w:rsid w:val="008A5AE7"/>
    <w:rsid w:val="008A5C1C"/>
    <w:rsid w:val="008A611D"/>
    <w:rsid w:val="008A6132"/>
    <w:rsid w:val="008A622E"/>
    <w:rsid w:val="008A6586"/>
    <w:rsid w:val="008A6780"/>
    <w:rsid w:val="008A6E05"/>
    <w:rsid w:val="008A6E7A"/>
    <w:rsid w:val="008A6FD1"/>
    <w:rsid w:val="008A7420"/>
    <w:rsid w:val="008A75CD"/>
    <w:rsid w:val="008A778F"/>
    <w:rsid w:val="008A7846"/>
    <w:rsid w:val="008A7A3F"/>
    <w:rsid w:val="008A7C64"/>
    <w:rsid w:val="008A7CB1"/>
    <w:rsid w:val="008A7CF2"/>
    <w:rsid w:val="008A7D00"/>
    <w:rsid w:val="008A7D4B"/>
    <w:rsid w:val="008A7E4B"/>
    <w:rsid w:val="008A7EB0"/>
    <w:rsid w:val="008A7F69"/>
    <w:rsid w:val="008B000B"/>
    <w:rsid w:val="008B002F"/>
    <w:rsid w:val="008B0066"/>
    <w:rsid w:val="008B033F"/>
    <w:rsid w:val="008B03BA"/>
    <w:rsid w:val="008B048A"/>
    <w:rsid w:val="008B05DA"/>
    <w:rsid w:val="008B0649"/>
    <w:rsid w:val="008B0695"/>
    <w:rsid w:val="008B0702"/>
    <w:rsid w:val="008B0799"/>
    <w:rsid w:val="008B0BF5"/>
    <w:rsid w:val="008B0DA8"/>
    <w:rsid w:val="008B0F36"/>
    <w:rsid w:val="008B0F8E"/>
    <w:rsid w:val="008B106C"/>
    <w:rsid w:val="008B1206"/>
    <w:rsid w:val="008B14B8"/>
    <w:rsid w:val="008B1563"/>
    <w:rsid w:val="008B160F"/>
    <w:rsid w:val="008B1774"/>
    <w:rsid w:val="008B17B8"/>
    <w:rsid w:val="008B1AFD"/>
    <w:rsid w:val="008B1B03"/>
    <w:rsid w:val="008B1B75"/>
    <w:rsid w:val="008B1DA7"/>
    <w:rsid w:val="008B201F"/>
    <w:rsid w:val="008B2034"/>
    <w:rsid w:val="008B20AC"/>
    <w:rsid w:val="008B20B4"/>
    <w:rsid w:val="008B2113"/>
    <w:rsid w:val="008B23C4"/>
    <w:rsid w:val="008B2479"/>
    <w:rsid w:val="008B24A8"/>
    <w:rsid w:val="008B24B2"/>
    <w:rsid w:val="008B24EF"/>
    <w:rsid w:val="008B25B2"/>
    <w:rsid w:val="008B25D8"/>
    <w:rsid w:val="008B26DB"/>
    <w:rsid w:val="008B27FA"/>
    <w:rsid w:val="008B29D6"/>
    <w:rsid w:val="008B2A84"/>
    <w:rsid w:val="008B2BF4"/>
    <w:rsid w:val="008B2E04"/>
    <w:rsid w:val="008B2EDE"/>
    <w:rsid w:val="008B2EEB"/>
    <w:rsid w:val="008B2EFE"/>
    <w:rsid w:val="008B2F48"/>
    <w:rsid w:val="008B2FF8"/>
    <w:rsid w:val="008B3245"/>
    <w:rsid w:val="008B32F5"/>
    <w:rsid w:val="008B342F"/>
    <w:rsid w:val="008B36CD"/>
    <w:rsid w:val="008B39EF"/>
    <w:rsid w:val="008B3B26"/>
    <w:rsid w:val="008B3DAE"/>
    <w:rsid w:val="008B3FF4"/>
    <w:rsid w:val="008B4036"/>
    <w:rsid w:val="008B40AE"/>
    <w:rsid w:val="008B4112"/>
    <w:rsid w:val="008B4137"/>
    <w:rsid w:val="008B4425"/>
    <w:rsid w:val="008B4D27"/>
    <w:rsid w:val="008B4F37"/>
    <w:rsid w:val="008B50D3"/>
    <w:rsid w:val="008B5101"/>
    <w:rsid w:val="008B55AC"/>
    <w:rsid w:val="008B59A0"/>
    <w:rsid w:val="008B5A56"/>
    <w:rsid w:val="008B5C5F"/>
    <w:rsid w:val="008B60D0"/>
    <w:rsid w:val="008B61D2"/>
    <w:rsid w:val="008B650A"/>
    <w:rsid w:val="008B6553"/>
    <w:rsid w:val="008B6669"/>
    <w:rsid w:val="008B670F"/>
    <w:rsid w:val="008B67D6"/>
    <w:rsid w:val="008B6806"/>
    <w:rsid w:val="008B6810"/>
    <w:rsid w:val="008B6901"/>
    <w:rsid w:val="008B6B3F"/>
    <w:rsid w:val="008B6B90"/>
    <w:rsid w:val="008B6BAE"/>
    <w:rsid w:val="008B6DFB"/>
    <w:rsid w:val="008B701C"/>
    <w:rsid w:val="008B70AD"/>
    <w:rsid w:val="008B718B"/>
    <w:rsid w:val="008B741D"/>
    <w:rsid w:val="008B7838"/>
    <w:rsid w:val="008B7A64"/>
    <w:rsid w:val="008B7B0E"/>
    <w:rsid w:val="008B7CD2"/>
    <w:rsid w:val="008B7DAA"/>
    <w:rsid w:val="008B7ED0"/>
    <w:rsid w:val="008C00F3"/>
    <w:rsid w:val="008C0148"/>
    <w:rsid w:val="008C056C"/>
    <w:rsid w:val="008C078B"/>
    <w:rsid w:val="008C07BC"/>
    <w:rsid w:val="008C07CC"/>
    <w:rsid w:val="008C0816"/>
    <w:rsid w:val="008C096B"/>
    <w:rsid w:val="008C0A7E"/>
    <w:rsid w:val="008C0C8B"/>
    <w:rsid w:val="008C0DB7"/>
    <w:rsid w:val="008C0E30"/>
    <w:rsid w:val="008C0FEB"/>
    <w:rsid w:val="008C0FEC"/>
    <w:rsid w:val="008C1088"/>
    <w:rsid w:val="008C1115"/>
    <w:rsid w:val="008C11FF"/>
    <w:rsid w:val="008C1245"/>
    <w:rsid w:val="008C14E4"/>
    <w:rsid w:val="008C1734"/>
    <w:rsid w:val="008C173A"/>
    <w:rsid w:val="008C1780"/>
    <w:rsid w:val="008C18CC"/>
    <w:rsid w:val="008C1A21"/>
    <w:rsid w:val="008C1A5F"/>
    <w:rsid w:val="008C1AA3"/>
    <w:rsid w:val="008C209A"/>
    <w:rsid w:val="008C22A2"/>
    <w:rsid w:val="008C2602"/>
    <w:rsid w:val="008C2D54"/>
    <w:rsid w:val="008C2DD5"/>
    <w:rsid w:val="008C2E92"/>
    <w:rsid w:val="008C2ED3"/>
    <w:rsid w:val="008C3090"/>
    <w:rsid w:val="008C31B4"/>
    <w:rsid w:val="008C325B"/>
    <w:rsid w:val="008C3270"/>
    <w:rsid w:val="008C3340"/>
    <w:rsid w:val="008C3364"/>
    <w:rsid w:val="008C33AC"/>
    <w:rsid w:val="008C3458"/>
    <w:rsid w:val="008C36B4"/>
    <w:rsid w:val="008C37A5"/>
    <w:rsid w:val="008C3986"/>
    <w:rsid w:val="008C3994"/>
    <w:rsid w:val="008C39ED"/>
    <w:rsid w:val="008C3A9A"/>
    <w:rsid w:val="008C3DCB"/>
    <w:rsid w:val="008C3E05"/>
    <w:rsid w:val="008C3F22"/>
    <w:rsid w:val="008C4055"/>
    <w:rsid w:val="008C40FA"/>
    <w:rsid w:val="008C4334"/>
    <w:rsid w:val="008C43AD"/>
    <w:rsid w:val="008C43E9"/>
    <w:rsid w:val="008C44F7"/>
    <w:rsid w:val="008C4525"/>
    <w:rsid w:val="008C458D"/>
    <w:rsid w:val="008C4AC9"/>
    <w:rsid w:val="008C4B24"/>
    <w:rsid w:val="008C4BCC"/>
    <w:rsid w:val="008C4DC2"/>
    <w:rsid w:val="008C4DCD"/>
    <w:rsid w:val="008C4FBB"/>
    <w:rsid w:val="008C4FC3"/>
    <w:rsid w:val="008C531F"/>
    <w:rsid w:val="008C549C"/>
    <w:rsid w:val="008C5525"/>
    <w:rsid w:val="008C552D"/>
    <w:rsid w:val="008C560A"/>
    <w:rsid w:val="008C5701"/>
    <w:rsid w:val="008C5936"/>
    <w:rsid w:val="008C5B50"/>
    <w:rsid w:val="008C5C04"/>
    <w:rsid w:val="008C5C53"/>
    <w:rsid w:val="008C5EE6"/>
    <w:rsid w:val="008C5FD6"/>
    <w:rsid w:val="008C60A4"/>
    <w:rsid w:val="008C63B3"/>
    <w:rsid w:val="008C6888"/>
    <w:rsid w:val="008C696E"/>
    <w:rsid w:val="008C6C77"/>
    <w:rsid w:val="008C6D97"/>
    <w:rsid w:val="008C7122"/>
    <w:rsid w:val="008C7396"/>
    <w:rsid w:val="008C7563"/>
    <w:rsid w:val="008C765F"/>
    <w:rsid w:val="008C779A"/>
    <w:rsid w:val="008C7897"/>
    <w:rsid w:val="008C7911"/>
    <w:rsid w:val="008C7916"/>
    <w:rsid w:val="008C7B64"/>
    <w:rsid w:val="008C7E18"/>
    <w:rsid w:val="008C7E61"/>
    <w:rsid w:val="008C7FAE"/>
    <w:rsid w:val="008D00E4"/>
    <w:rsid w:val="008D042D"/>
    <w:rsid w:val="008D0703"/>
    <w:rsid w:val="008D09B1"/>
    <w:rsid w:val="008D0A27"/>
    <w:rsid w:val="008D0ABA"/>
    <w:rsid w:val="008D0B67"/>
    <w:rsid w:val="008D0F3B"/>
    <w:rsid w:val="008D0F94"/>
    <w:rsid w:val="008D1112"/>
    <w:rsid w:val="008D1220"/>
    <w:rsid w:val="008D12C7"/>
    <w:rsid w:val="008D134D"/>
    <w:rsid w:val="008D1419"/>
    <w:rsid w:val="008D16D8"/>
    <w:rsid w:val="008D18B7"/>
    <w:rsid w:val="008D18CB"/>
    <w:rsid w:val="008D1977"/>
    <w:rsid w:val="008D2007"/>
    <w:rsid w:val="008D21DF"/>
    <w:rsid w:val="008D22C4"/>
    <w:rsid w:val="008D23DB"/>
    <w:rsid w:val="008D2428"/>
    <w:rsid w:val="008D247E"/>
    <w:rsid w:val="008D25D0"/>
    <w:rsid w:val="008D278C"/>
    <w:rsid w:val="008D292F"/>
    <w:rsid w:val="008D2ACA"/>
    <w:rsid w:val="008D2DE1"/>
    <w:rsid w:val="008D2DF6"/>
    <w:rsid w:val="008D2E08"/>
    <w:rsid w:val="008D2E4D"/>
    <w:rsid w:val="008D2EF4"/>
    <w:rsid w:val="008D30C5"/>
    <w:rsid w:val="008D316E"/>
    <w:rsid w:val="008D32B7"/>
    <w:rsid w:val="008D32F3"/>
    <w:rsid w:val="008D34A8"/>
    <w:rsid w:val="008D3765"/>
    <w:rsid w:val="008D37B4"/>
    <w:rsid w:val="008D38D6"/>
    <w:rsid w:val="008D3BF0"/>
    <w:rsid w:val="008D3D6F"/>
    <w:rsid w:val="008D3DA5"/>
    <w:rsid w:val="008D3DF1"/>
    <w:rsid w:val="008D41F9"/>
    <w:rsid w:val="008D42BC"/>
    <w:rsid w:val="008D43E4"/>
    <w:rsid w:val="008D47D1"/>
    <w:rsid w:val="008D4A02"/>
    <w:rsid w:val="008D4A55"/>
    <w:rsid w:val="008D4C0F"/>
    <w:rsid w:val="008D4C3F"/>
    <w:rsid w:val="008D4C42"/>
    <w:rsid w:val="008D4C5B"/>
    <w:rsid w:val="008D4D08"/>
    <w:rsid w:val="008D4D60"/>
    <w:rsid w:val="008D4F65"/>
    <w:rsid w:val="008D501A"/>
    <w:rsid w:val="008D50EA"/>
    <w:rsid w:val="008D513B"/>
    <w:rsid w:val="008D51BF"/>
    <w:rsid w:val="008D526B"/>
    <w:rsid w:val="008D536E"/>
    <w:rsid w:val="008D54C7"/>
    <w:rsid w:val="008D5526"/>
    <w:rsid w:val="008D568E"/>
    <w:rsid w:val="008D5AD7"/>
    <w:rsid w:val="008D5BB6"/>
    <w:rsid w:val="008D5C90"/>
    <w:rsid w:val="008D5CFC"/>
    <w:rsid w:val="008D5E59"/>
    <w:rsid w:val="008D5F34"/>
    <w:rsid w:val="008D5FF3"/>
    <w:rsid w:val="008D614B"/>
    <w:rsid w:val="008D61DD"/>
    <w:rsid w:val="008D6525"/>
    <w:rsid w:val="008D6590"/>
    <w:rsid w:val="008D660F"/>
    <w:rsid w:val="008D6617"/>
    <w:rsid w:val="008D69D8"/>
    <w:rsid w:val="008D6BAF"/>
    <w:rsid w:val="008D6DED"/>
    <w:rsid w:val="008D6E36"/>
    <w:rsid w:val="008D71FF"/>
    <w:rsid w:val="008D735B"/>
    <w:rsid w:val="008D7513"/>
    <w:rsid w:val="008D7527"/>
    <w:rsid w:val="008D7AF4"/>
    <w:rsid w:val="008D7B93"/>
    <w:rsid w:val="008D7CCC"/>
    <w:rsid w:val="008D7D12"/>
    <w:rsid w:val="008D7DBF"/>
    <w:rsid w:val="008D7E77"/>
    <w:rsid w:val="008E0077"/>
    <w:rsid w:val="008E0108"/>
    <w:rsid w:val="008E014E"/>
    <w:rsid w:val="008E0222"/>
    <w:rsid w:val="008E02CB"/>
    <w:rsid w:val="008E04CC"/>
    <w:rsid w:val="008E04D0"/>
    <w:rsid w:val="008E0615"/>
    <w:rsid w:val="008E0768"/>
    <w:rsid w:val="008E07EC"/>
    <w:rsid w:val="008E0A2C"/>
    <w:rsid w:val="008E0D45"/>
    <w:rsid w:val="008E0E2D"/>
    <w:rsid w:val="008E0F9F"/>
    <w:rsid w:val="008E1236"/>
    <w:rsid w:val="008E1484"/>
    <w:rsid w:val="008E1654"/>
    <w:rsid w:val="008E1670"/>
    <w:rsid w:val="008E169D"/>
    <w:rsid w:val="008E16E4"/>
    <w:rsid w:val="008E1975"/>
    <w:rsid w:val="008E19A6"/>
    <w:rsid w:val="008E1CB1"/>
    <w:rsid w:val="008E1E1C"/>
    <w:rsid w:val="008E1F11"/>
    <w:rsid w:val="008E1F42"/>
    <w:rsid w:val="008E1F62"/>
    <w:rsid w:val="008E2610"/>
    <w:rsid w:val="008E2639"/>
    <w:rsid w:val="008E2691"/>
    <w:rsid w:val="008E2792"/>
    <w:rsid w:val="008E27F8"/>
    <w:rsid w:val="008E2A1E"/>
    <w:rsid w:val="008E2AF3"/>
    <w:rsid w:val="008E2BC2"/>
    <w:rsid w:val="008E2BC6"/>
    <w:rsid w:val="008E2BEF"/>
    <w:rsid w:val="008E2C00"/>
    <w:rsid w:val="008E3036"/>
    <w:rsid w:val="008E321C"/>
    <w:rsid w:val="008E3331"/>
    <w:rsid w:val="008E33D7"/>
    <w:rsid w:val="008E3499"/>
    <w:rsid w:val="008E375E"/>
    <w:rsid w:val="008E384F"/>
    <w:rsid w:val="008E3A6C"/>
    <w:rsid w:val="008E3C5D"/>
    <w:rsid w:val="008E3C77"/>
    <w:rsid w:val="008E3C7C"/>
    <w:rsid w:val="008E3CA3"/>
    <w:rsid w:val="008E3CA4"/>
    <w:rsid w:val="008E3CCB"/>
    <w:rsid w:val="008E3D98"/>
    <w:rsid w:val="008E3DF5"/>
    <w:rsid w:val="008E4032"/>
    <w:rsid w:val="008E4103"/>
    <w:rsid w:val="008E4146"/>
    <w:rsid w:val="008E41FB"/>
    <w:rsid w:val="008E4264"/>
    <w:rsid w:val="008E42E2"/>
    <w:rsid w:val="008E4539"/>
    <w:rsid w:val="008E456B"/>
    <w:rsid w:val="008E45B0"/>
    <w:rsid w:val="008E46D2"/>
    <w:rsid w:val="008E47D5"/>
    <w:rsid w:val="008E47DF"/>
    <w:rsid w:val="008E4882"/>
    <w:rsid w:val="008E48F0"/>
    <w:rsid w:val="008E49E5"/>
    <w:rsid w:val="008E4A14"/>
    <w:rsid w:val="008E4A6F"/>
    <w:rsid w:val="008E4E1D"/>
    <w:rsid w:val="008E50A6"/>
    <w:rsid w:val="008E50AF"/>
    <w:rsid w:val="008E51AD"/>
    <w:rsid w:val="008E51C0"/>
    <w:rsid w:val="008E5224"/>
    <w:rsid w:val="008E5373"/>
    <w:rsid w:val="008E54B4"/>
    <w:rsid w:val="008E566E"/>
    <w:rsid w:val="008E5704"/>
    <w:rsid w:val="008E576B"/>
    <w:rsid w:val="008E57DE"/>
    <w:rsid w:val="008E583E"/>
    <w:rsid w:val="008E5964"/>
    <w:rsid w:val="008E5972"/>
    <w:rsid w:val="008E5A52"/>
    <w:rsid w:val="008E5A9B"/>
    <w:rsid w:val="008E5BBA"/>
    <w:rsid w:val="008E5BEE"/>
    <w:rsid w:val="008E5C0F"/>
    <w:rsid w:val="008E5C5F"/>
    <w:rsid w:val="008E5CE9"/>
    <w:rsid w:val="008E5E4F"/>
    <w:rsid w:val="008E6022"/>
    <w:rsid w:val="008E60D3"/>
    <w:rsid w:val="008E61AD"/>
    <w:rsid w:val="008E6540"/>
    <w:rsid w:val="008E66EA"/>
    <w:rsid w:val="008E67C8"/>
    <w:rsid w:val="008E69D5"/>
    <w:rsid w:val="008E6BD4"/>
    <w:rsid w:val="008E6C04"/>
    <w:rsid w:val="008E6C07"/>
    <w:rsid w:val="008E6C78"/>
    <w:rsid w:val="008E6D27"/>
    <w:rsid w:val="008E6F46"/>
    <w:rsid w:val="008E703B"/>
    <w:rsid w:val="008E707F"/>
    <w:rsid w:val="008E70AC"/>
    <w:rsid w:val="008E70D8"/>
    <w:rsid w:val="008E730A"/>
    <w:rsid w:val="008E731E"/>
    <w:rsid w:val="008E75F0"/>
    <w:rsid w:val="008E7746"/>
    <w:rsid w:val="008E7B6E"/>
    <w:rsid w:val="008E7BB8"/>
    <w:rsid w:val="008E7BE2"/>
    <w:rsid w:val="008E7C4B"/>
    <w:rsid w:val="008E7D93"/>
    <w:rsid w:val="008E7F88"/>
    <w:rsid w:val="008E7F9D"/>
    <w:rsid w:val="008F00DB"/>
    <w:rsid w:val="008F0157"/>
    <w:rsid w:val="008F02C1"/>
    <w:rsid w:val="008F0346"/>
    <w:rsid w:val="008F04F1"/>
    <w:rsid w:val="008F0500"/>
    <w:rsid w:val="008F05F2"/>
    <w:rsid w:val="008F0720"/>
    <w:rsid w:val="008F097E"/>
    <w:rsid w:val="008F0AAA"/>
    <w:rsid w:val="008F0ACD"/>
    <w:rsid w:val="008F0CD9"/>
    <w:rsid w:val="008F0D1E"/>
    <w:rsid w:val="008F0DE6"/>
    <w:rsid w:val="008F0FC4"/>
    <w:rsid w:val="008F1098"/>
    <w:rsid w:val="008F11C9"/>
    <w:rsid w:val="008F1524"/>
    <w:rsid w:val="008F180B"/>
    <w:rsid w:val="008F187F"/>
    <w:rsid w:val="008F19DE"/>
    <w:rsid w:val="008F19E1"/>
    <w:rsid w:val="008F1AC5"/>
    <w:rsid w:val="008F1B27"/>
    <w:rsid w:val="008F1B4C"/>
    <w:rsid w:val="008F1E01"/>
    <w:rsid w:val="008F1F7A"/>
    <w:rsid w:val="008F2004"/>
    <w:rsid w:val="008F2053"/>
    <w:rsid w:val="008F2100"/>
    <w:rsid w:val="008F21CD"/>
    <w:rsid w:val="008F23A6"/>
    <w:rsid w:val="008F2686"/>
    <w:rsid w:val="008F2715"/>
    <w:rsid w:val="008F271A"/>
    <w:rsid w:val="008F2738"/>
    <w:rsid w:val="008F27A8"/>
    <w:rsid w:val="008F2A42"/>
    <w:rsid w:val="008F2B89"/>
    <w:rsid w:val="008F2C75"/>
    <w:rsid w:val="008F2F4E"/>
    <w:rsid w:val="008F2F9D"/>
    <w:rsid w:val="008F302D"/>
    <w:rsid w:val="008F308A"/>
    <w:rsid w:val="008F3260"/>
    <w:rsid w:val="008F32BD"/>
    <w:rsid w:val="008F32C5"/>
    <w:rsid w:val="008F33AE"/>
    <w:rsid w:val="008F33EB"/>
    <w:rsid w:val="008F345C"/>
    <w:rsid w:val="008F3743"/>
    <w:rsid w:val="008F39C9"/>
    <w:rsid w:val="008F39CA"/>
    <w:rsid w:val="008F3C1B"/>
    <w:rsid w:val="008F3D4E"/>
    <w:rsid w:val="008F3F43"/>
    <w:rsid w:val="008F3F98"/>
    <w:rsid w:val="008F40BB"/>
    <w:rsid w:val="008F40C7"/>
    <w:rsid w:val="008F43ED"/>
    <w:rsid w:val="008F4428"/>
    <w:rsid w:val="008F4487"/>
    <w:rsid w:val="008F464C"/>
    <w:rsid w:val="008F486D"/>
    <w:rsid w:val="008F4963"/>
    <w:rsid w:val="008F4A24"/>
    <w:rsid w:val="008F4A67"/>
    <w:rsid w:val="008F4D5A"/>
    <w:rsid w:val="008F4F25"/>
    <w:rsid w:val="008F52A9"/>
    <w:rsid w:val="008F52CA"/>
    <w:rsid w:val="008F5774"/>
    <w:rsid w:val="008F592D"/>
    <w:rsid w:val="008F59CC"/>
    <w:rsid w:val="008F5C5A"/>
    <w:rsid w:val="008F5E11"/>
    <w:rsid w:val="008F6068"/>
    <w:rsid w:val="008F6078"/>
    <w:rsid w:val="008F60FA"/>
    <w:rsid w:val="008F61BB"/>
    <w:rsid w:val="008F61BD"/>
    <w:rsid w:val="008F621B"/>
    <w:rsid w:val="008F62CB"/>
    <w:rsid w:val="008F6391"/>
    <w:rsid w:val="008F651F"/>
    <w:rsid w:val="008F653E"/>
    <w:rsid w:val="008F656B"/>
    <w:rsid w:val="008F674A"/>
    <w:rsid w:val="008F684B"/>
    <w:rsid w:val="008F6A0F"/>
    <w:rsid w:val="008F6D1E"/>
    <w:rsid w:val="008F6DB7"/>
    <w:rsid w:val="008F71B2"/>
    <w:rsid w:val="008F71F8"/>
    <w:rsid w:val="008F72B6"/>
    <w:rsid w:val="008F72B8"/>
    <w:rsid w:val="008F7440"/>
    <w:rsid w:val="008F74A0"/>
    <w:rsid w:val="008F7773"/>
    <w:rsid w:val="008F7ADA"/>
    <w:rsid w:val="008F7C26"/>
    <w:rsid w:val="008F7C50"/>
    <w:rsid w:val="008F7D71"/>
    <w:rsid w:val="008F7EA1"/>
    <w:rsid w:val="008F7F37"/>
    <w:rsid w:val="008F7FB3"/>
    <w:rsid w:val="00900015"/>
    <w:rsid w:val="00900019"/>
    <w:rsid w:val="00900388"/>
    <w:rsid w:val="009003AB"/>
    <w:rsid w:val="00900493"/>
    <w:rsid w:val="00900598"/>
    <w:rsid w:val="009009A7"/>
    <w:rsid w:val="00900A9D"/>
    <w:rsid w:val="00900BB0"/>
    <w:rsid w:val="00900D52"/>
    <w:rsid w:val="00900DBE"/>
    <w:rsid w:val="00900E42"/>
    <w:rsid w:val="00900EA6"/>
    <w:rsid w:val="00900F68"/>
    <w:rsid w:val="00900F6A"/>
    <w:rsid w:val="00900F72"/>
    <w:rsid w:val="0090117F"/>
    <w:rsid w:val="0090137B"/>
    <w:rsid w:val="009013C7"/>
    <w:rsid w:val="009015B0"/>
    <w:rsid w:val="009016C3"/>
    <w:rsid w:val="0090173C"/>
    <w:rsid w:val="009017D3"/>
    <w:rsid w:val="0090182D"/>
    <w:rsid w:val="009018C5"/>
    <w:rsid w:val="00901975"/>
    <w:rsid w:val="0090197D"/>
    <w:rsid w:val="00901B13"/>
    <w:rsid w:val="00901B6C"/>
    <w:rsid w:val="00901BB4"/>
    <w:rsid w:val="00901D13"/>
    <w:rsid w:val="00901E8D"/>
    <w:rsid w:val="00901E9A"/>
    <w:rsid w:val="0090217D"/>
    <w:rsid w:val="009021B2"/>
    <w:rsid w:val="00902553"/>
    <w:rsid w:val="0090264D"/>
    <w:rsid w:val="00902719"/>
    <w:rsid w:val="0090273B"/>
    <w:rsid w:val="009028AD"/>
    <w:rsid w:val="00902B50"/>
    <w:rsid w:val="00902BAD"/>
    <w:rsid w:val="00902DB3"/>
    <w:rsid w:val="00902FC5"/>
    <w:rsid w:val="009031A1"/>
    <w:rsid w:val="00903250"/>
    <w:rsid w:val="009033F9"/>
    <w:rsid w:val="00903518"/>
    <w:rsid w:val="00903681"/>
    <w:rsid w:val="00903D28"/>
    <w:rsid w:val="00903E25"/>
    <w:rsid w:val="00904097"/>
    <w:rsid w:val="009040A6"/>
    <w:rsid w:val="00904248"/>
    <w:rsid w:val="0090428C"/>
    <w:rsid w:val="00904308"/>
    <w:rsid w:val="009043CA"/>
    <w:rsid w:val="00904666"/>
    <w:rsid w:val="00904671"/>
    <w:rsid w:val="009047A4"/>
    <w:rsid w:val="00904808"/>
    <w:rsid w:val="009048B7"/>
    <w:rsid w:val="009048CC"/>
    <w:rsid w:val="0090492A"/>
    <w:rsid w:val="00904943"/>
    <w:rsid w:val="00904A6C"/>
    <w:rsid w:val="00904ABA"/>
    <w:rsid w:val="00904AC2"/>
    <w:rsid w:val="00904B47"/>
    <w:rsid w:val="00904C98"/>
    <w:rsid w:val="00904EE8"/>
    <w:rsid w:val="00905751"/>
    <w:rsid w:val="009058FC"/>
    <w:rsid w:val="00905991"/>
    <w:rsid w:val="00905AAD"/>
    <w:rsid w:val="00905B01"/>
    <w:rsid w:val="00905B5D"/>
    <w:rsid w:val="00905BA7"/>
    <w:rsid w:val="00905C84"/>
    <w:rsid w:val="00905DBC"/>
    <w:rsid w:val="00905F77"/>
    <w:rsid w:val="009060EE"/>
    <w:rsid w:val="00906739"/>
    <w:rsid w:val="00906765"/>
    <w:rsid w:val="00906803"/>
    <w:rsid w:val="00906917"/>
    <w:rsid w:val="00906982"/>
    <w:rsid w:val="00906B09"/>
    <w:rsid w:val="00906B0D"/>
    <w:rsid w:val="00906BD2"/>
    <w:rsid w:val="00906C7B"/>
    <w:rsid w:val="009070B2"/>
    <w:rsid w:val="0090715F"/>
    <w:rsid w:val="00907229"/>
    <w:rsid w:val="0090722B"/>
    <w:rsid w:val="009072C1"/>
    <w:rsid w:val="0090731A"/>
    <w:rsid w:val="009074BB"/>
    <w:rsid w:val="00907700"/>
    <w:rsid w:val="009077C9"/>
    <w:rsid w:val="00907935"/>
    <w:rsid w:val="0090793B"/>
    <w:rsid w:val="00907EF5"/>
    <w:rsid w:val="009100D9"/>
    <w:rsid w:val="009100F3"/>
    <w:rsid w:val="00910202"/>
    <w:rsid w:val="009102C1"/>
    <w:rsid w:val="009105E7"/>
    <w:rsid w:val="0091065E"/>
    <w:rsid w:val="00910C15"/>
    <w:rsid w:val="00910CB8"/>
    <w:rsid w:val="00910DB7"/>
    <w:rsid w:val="00910DFD"/>
    <w:rsid w:val="009112ED"/>
    <w:rsid w:val="00911775"/>
    <w:rsid w:val="009117CF"/>
    <w:rsid w:val="00911806"/>
    <w:rsid w:val="00911808"/>
    <w:rsid w:val="00911933"/>
    <w:rsid w:val="00911A20"/>
    <w:rsid w:val="00911BD9"/>
    <w:rsid w:val="00911C2E"/>
    <w:rsid w:val="00911E5A"/>
    <w:rsid w:val="00911EF9"/>
    <w:rsid w:val="0091234F"/>
    <w:rsid w:val="009124E5"/>
    <w:rsid w:val="009125C9"/>
    <w:rsid w:val="00912602"/>
    <w:rsid w:val="0091270C"/>
    <w:rsid w:val="009127B9"/>
    <w:rsid w:val="00912826"/>
    <w:rsid w:val="00912833"/>
    <w:rsid w:val="009128AC"/>
    <w:rsid w:val="00912AAB"/>
    <w:rsid w:val="00912BA1"/>
    <w:rsid w:val="00912C7B"/>
    <w:rsid w:val="00912E4D"/>
    <w:rsid w:val="009130EB"/>
    <w:rsid w:val="0091317E"/>
    <w:rsid w:val="0091322C"/>
    <w:rsid w:val="0091328E"/>
    <w:rsid w:val="009133DB"/>
    <w:rsid w:val="00913697"/>
    <w:rsid w:val="00913B0F"/>
    <w:rsid w:val="00913B98"/>
    <w:rsid w:val="00913BB1"/>
    <w:rsid w:val="00913DE1"/>
    <w:rsid w:val="00913FCF"/>
    <w:rsid w:val="009143C8"/>
    <w:rsid w:val="009144F4"/>
    <w:rsid w:val="0091481E"/>
    <w:rsid w:val="009148FB"/>
    <w:rsid w:val="00914CC6"/>
    <w:rsid w:val="00914EDC"/>
    <w:rsid w:val="00914F8A"/>
    <w:rsid w:val="009150E3"/>
    <w:rsid w:val="00915265"/>
    <w:rsid w:val="0091537D"/>
    <w:rsid w:val="009153D6"/>
    <w:rsid w:val="009156EB"/>
    <w:rsid w:val="009157B4"/>
    <w:rsid w:val="00915A0D"/>
    <w:rsid w:val="00915A34"/>
    <w:rsid w:val="00915A63"/>
    <w:rsid w:val="00915C60"/>
    <w:rsid w:val="00915C67"/>
    <w:rsid w:val="009160BE"/>
    <w:rsid w:val="009161A6"/>
    <w:rsid w:val="009163D0"/>
    <w:rsid w:val="0091661A"/>
    <w:rsid w:val="00916A0F"/>
    <w:rsid w:val="00916AA8"/>
    <w:rsid w:val="00916EC3"/>
    <w:rsid w:val="00916ECB"/>
    <w:rsid w:val="00916F81"/>
    <w:rsid w:val="00917030"/>
    <w:rsid w:val="00917055"/>
    <w:rsid w:val="009172A9"/>
    <w:rsid w:val="0091736D"/>
    <w:rsid w:val="00917529"/>
    <w:rsid w:val="0091771E"/>
    <w:rsid w:val="009177C8"/>
    <w:rsid w:val="009179A5"/>
    <w:rsid w:val="00917B40"/>
    <w:rsid w:val="00917BB1"/>
    <w:rsid w:val="00917C7A"/>
    <w:rsid w:val="00917CD8"/>
    <w:rsid w:val="00920078"/>
    <w:rsid w:val="00920252"/>
    <w:rsid w:val="0092044D"/>
    <w:rsid w:val="009204BF"/>
    <w:rsid w:val="009209C2"/>
    <w:rsid w:val="00920A5A"/>
    <w:rsid w:val="00920B12"/>
    <w:rsid w:val="00920CE6"/>
    <w:rsid w:val="00920D79"/>
    <w:rsid w:val="00920DD2"/>
    <w:rsid w:val="00920F59"/>
    <w:rsid w:val="00920F8E"/>
    <w:rsid w:val="009211C0"/>
    <w:rsid w:val="0092129F"/>
    <w:rsid w:val="009216CE"/>
    <w:rsid w:val="00921792"/>
    <w:rsid w:val="009218CB"/>
    <w:rsid w:val="00921A3B"/>
    <w:rsid w:val="00921AB1"/>
    <w:rsid w:val="00921BD2"/>
    <w:rsid w:val="00921C6C"/>
    <w:rsid w:val="00921C9A"/>
    <w:rsid w:val="00921F10"/>
    <w:rsid w:val="0092202E"/>
    <w:rsid w:val="00922098"/>
    <w:rsid w:val="009220D6"/>
    <w:rsid w:val="0092211B"/>
    <w:rsid w:val="00922299"/>
    <w:rsid w:val="00922310"/>
    <w:rsid w:val="0092249F"/>
    <w:rsid w:val="00922509"/>
    <w:rsid w:val="009228BC"/>
    <w:rsid w:val="009228C4"/>
    <w:rsid w:val="00922A0C"/>
    <w:rsid w:val="00922A62"/>
    <w:rsid w:val="00922C8D"/>
    <w:rsid w:val="009231D7"/>
    <w:rsid w:val="0092332E"/>
    <w:rsid w:val="009233EB"/>
    <w:rsid w:val="009237A3"/>
    <w:rsid w:val="00923887"/>
    <w:rsid w:val="0092388F"/>
    <w:rsid w:val="00923925"/>
    <w:rsid w:val="00923927"/>
    <w:rsid w:val="00923B48"/>
    <w:rsid w:val="00923E70"/>
    <w:rsid w:val="00923ECF"/>
    <w:rsid w:val="009240C5"/>
    <w:rsid w:val="009242EA"/>
    <w:rsid w:val="00924562"/>
    <w:rsid w:val="009245E9"/>
    <w:rsid w:val="009249A4"/>
    <w:rsid w:val="00924B03"/>
    <w:rsid w:val="00924C45"/>
    <w:rsid w:val="00924D1B"/>
    <w:rsid w:val="00924DB9"/>
    <w:rsid w:val="00924DC4"/>
    <w:rsid w:val="00924ECC"/>
    <w:rsid w:val="00924F41"/>
    <w:rsid w:val="0092516C"/>
    <w:rsid w:val="00925192"/>
    <w:rsid w:val="00925257"/>
    <w:rsid w:val="0092544D"/>
    <w:rsid w:val="00925522"/>
    <w:rsid w:val="009256EA"/>
    <w:rsid w:val="00925715"/>
    <w:rsid w:val="009257A1"/>
    <w:rsid w:val="009259A6"/>
    <w:rsid w:val="009262FE"/>
    <w:rsid w:val="00926446"/>
    <w:rsid w:val="009266E9"/>
    <w:rsid w:val="009268C8"/>
    <w:rsid w:val="00926911"/>
    <w:rsid w:val="00926B00"/>
    <w:rsid w:val="00926BA2"/>
    <w:rsid w:val="00926C02"/>
    <w:rsid w:val="00927047"/>
    <w:rsid w:val="009270DC"/>
    <w:rsid w:val="00927245"/>
    <w:rsid w:val="00927253"/>
    <w:rsid w:val="00927292"/>
    <w:rsid w:val="009272FE"/>
    <w:rsid w:val="0092733A"/>
    <w:rsid w:val="00927416"/>
    <w:rsid w:val="00927418"/>
    <w:rsid w:val="00927431"/>
    <w:rsid w:val="009275F9"/>
    <w:rsid w:val="009277EC"/>
    <w:rsid w:val="00927810"/>
    <w:rsid w:val="00927982"/>
    <w:rsid w:val="009279C3"/>
    <w:rsid w:val="00927A79"/>
    <w:rsid w:val="00927BEA"/>
    <w:rsid w:val="00927D38"/>
    <w:rsid w:val="00927E08"/>
    <w:rsid w:val="00927FDC"/>
    <w:rsid w:val="00930049"/>
    <w:rsid w:val="009303A8"/>
    <w:rsid w:val="009304B1"/>
    <w:rsid w:val="009307BA"/>
    <w:rsid w:val="009307F2"/>
    <w:rsid w:val="009308F0"/>
    <w:rsid w:val="00930974"/>
    <w:rsid w:val="0093098E"/>
    <w:rsid w:val="00930BC7"/>
    <w:rsid w:val="00930D90"/>
    <w:rsid w:val="00930E8C"/>
    <w:rsid w:val="00930FE5"/>
    <w:rsid w:val="0093102B"/>
    <w:rsid w:val="0093119E"/>
    <w:rsid w:val="00931428"/>
    <w:rsid w:val="00931462"/>
    <w:rsid w:val="0093154A"/>
    <w:rsid w:val="009317A8"/>
    <w:rsid w:val="00931952"/>
    <w:rsid w:val="00931C34"/>
    <w:rsid w:val="00931CBF"/>
    <w:rsid w:val="00931EED"/>
    <w:rsid w:val="00932193"/>
    <w:rsid w:val="009321B4"/>
    <w:rsid w:val="00932357"/>
    <w:rsid w:val="00932414"/>
    <w:rsid w:val="009325CB"/>
    <w:rsid w:val="0093272E"/>
    <w:rsid w:val="0093290C"/>
    <w:rsid w:val="009329ED"/>
    <w:rsid w:val="00932A48"/>
    <w:rsid w:val="00932A4B"/>
    <w:rsid w:val="00932EC4"/>
    <w:rsid w:val="0093310E"/>
    <w:rsid w:val="00933388"/>
    <w:rsid w:val="009337D2"/>
    <w:rsid w:val="009338DA"/>
    <w:rsid w:val="00933AEA"/>
    <w:rsid w:val="00933B91"/>
    <w:rsid w:val="00933CE6"/>
    <w:rsid w:val="00933D57"/>
    <w:rsid w:val="00933D5F"/>
    <w:rsid w:val="00933F31"/>
    <w:rsid w:val="00933F34"/>
    <w:rsid w:val="00933F7F"/>
    <w:rsid w:val="00934052"/>
    <w:rsid w:val="00934190"/>
    <w:rsid w:val="009341FA"/>
    <w:rsid w:val="00934232"/>
    <w:rsid w:val="009342AF"/>
    <w:rsid w:val="009344DF"/>
    <w:rsid w:val="00934542"/>
    <w:rsid w:val="00934767"/>
    <w:rsid w:val="009347A3"/>
    <w:rsid w:val="0093487A"/>
    <w:rsid w:val="0093491C"/>
    <w:rsid w:val="00934929"/>
    <w:rsid w:val="00934959"/>
    <w:rsid w:val="00934967"/>
    <w:rsid w:val="00934CE7"/>
    <w:rsid w:val="00934EAB"/>
    <w:rsid w:val="0093514C"/>
    <w:rsid w:val="0093538A"/>
    <w:rsid w:val="0093552B"/>
    <w:rsid w:val="009355F3"/>
    <w:rsid w:val="00935617"/>
    <w:rsid w:val="00935AB3"/>
    <w:rsid w:val="00935AC6"/>
    <w:rsid w:val="00935BB6"/>
    <w:rsid w:val="00935CD1"/>
    <w:rsid w:val="00935D55"/>
    <w:rsid w:val="00935DD9"/>
    <w:rsid w:val="00935DE2"/>
    <w:rsid w:val="00935E5F"/>
    <w:rsid w:val="00936040"/>
    <w:rsid w:val="0093607B"/>
    <w:rsid w:val="00936254"/>
    <w:rsid w:val="0093633F"/>
    <w:rsid w:val="009364C9"/>
    <w:rsid w:val="009366CA"/>
    <w:rsid w:val="00936D50"/>
    <w:rsid w:val="00936EB0"/>
    <w:rsid w:val="00937173"/>
    <w:rsid w:val="009372A9"/>
    <w:rsid w:val="0093797D"/>
    <w:rsid w:val="009379E6"/>
    <w:rsid w:val="00937ACF"/>
    <w:rsid w:val="00937BDD"/>
    <w:rsid w:val="009400D4"/>
    <w:rsid w:val="009401D4"/>
    <w:rsid w:val="009401D5"/>
    <w:rsid w:val="0094070F"/>
    <w:rsid w:val="009409C0"/>
    <w:rsid w:val="00940AC6"/>
    <w:rsid w:val="00940C2D"/>
    <w:rsid w:val="00940D65"/>
    <w:rsid w:val="00940E79"/>
    <w:rsid w:val="00941152"/>
    <w:rsid w:val="00941257"/>
    <w:rsid w:val="009412DA"/>
    <w:rsid w:val="0094154A"/>
    <w:rsid w:val="009416C3"/>
    <w:rsid w:val="00941924"/>
    <w:rsid w:val="009419C0"/>
    <w:rsid w:val="00941C71"/>
    <w:rsid w:val="00941C76"/>
    <w:rsid w:val="00941E26"/>
    <w:rsid w:val="00941EC9"/>
    <w:rsid w:val="00941F41"/>
    <w:rsid w:val="009421B2"/>
    <w:rsid w:val="00942531"/>
    <w:rsid w:val="00942607"/>
    <w:rsid w:val="0094274A"/>
    <w:rsid w:val="00942760"/>
    <w:rsid w:val="009427F9"/>
    <w:rsid w:val="00942BA2"/>
    <w:rsid w:val="00942C9A"/>
    <w:rsid w:val="00942CF3"/>
    <w:rsid w:val="00942D1A"/>
    <w:rsid w:val="00942F93"/>
    <w:rsid w:val="00942FC1"/>
    <w:rsid w:val="00943054"/>
    <w:rsid w:val="00943356"/>
    <w:rsid w:val="009433A2"/>
    <w:rsid w:val="009434CA"/>
    <w:rsid w:val="00943940"/>
    <w:rsid w:val="00943B06"/>
    <w:rsid w:val="00943B50"/>
    <w:rsid w:val="00943E4B"/>
    <w:rsid w:val="00943E5E"/>
    <w:rsid w:val="00943E78"/>
    <w:rsid w:val="00943EB6"/>
    <w:rsid w:val="00943F5C"/>
    <w:rsid w:val="00944021"/>
    <w:rsid w:val="0094425B"/>
    <w:rsid w:val="009442A5"/>
    <w:rsid w:val="00944448"/>
    <w:rsid w:val="009444F8"/>
    <w:rsid w:val="00944774"/>
    <w:rsid w:val="00944783"/>
    <w:rsid w:val="00944787"/>
    <w:rsid w:val="009448BA"/>
    <w:rsid w:val="009448CA"/>
    <w:rsid w:val="00944A3F"/>
    <w:rsid w:val="00944AC2"/>
    <w:rsid w:val="00944BB4"/>
    <w:rsid w:val="00944BE7"/>
    <w:rsid w:val="00944C83"/>
    <w:rsid w:val="00944EC5"/>
    <w:rsid w:val="00944EEF"/>
    <w:rsid w:val="00944EFA"/>
    <w:rsid w:val="00944FCA"/>
    <w:rsid w:val="00945022"/>
    <w:rsid w:val="00945073"/>
    <w:rsid w:val="009450EE"/>
    <w:rsid w:val="009450F8"/>
    <w:rsid w:val="009451CA"/>
    <w:rsid w:val="00945431"/>
    <w:rsid w:val="00945498"/>
    <w:rsid w:val="0094551C"/>
    <w:rsid w:val="0094558D"/>
    <w:rsid w:val="009455F6"/>
    <w:rsid w:val="0094562C"/>
    <w:rsid w:val="0094594B"/>
    <w:rsid w:val="00945A6F"/>
    <w:rsid w:val="00945C4E"/>
    <w:rsid w:val="00945C6E"/>
    <w:rsid w:val="00946018"/>
    <w:rsid w:val="00946023"/>
    <w:rsid w:val="0094613A"/>
    <w:rsid w:val="009464A8"/>
    <w:rsid w:val="009464D2"/>
    <w:rsid w:val="0094651A"/>
    <w:rsid w:val="009467F2"/>
    <w:rsid w:val="00946878"/>
    <w:rsid w:val="00946A3E"/>
    <w:rsid w:val="00946C46"/>
    <w:rsid w:val="00946F06"/>
    <w:rsid w:val="00946FA0"/>
    <w:rsid w:val="00947109"/>
    <w:rsid w:val="00947225"/>
    <w:rsid w:val="009473B2"/>
    <w:rsid w:val="00947461"/>
    <w:rsid w:val="009476F9"/>
    <w:rsid w:val="009477C8"/>
    <w:rsid w:val="00947838"/>
    <w:rsid w:val="0094789F"/>
    <w:rsid w:val="00947A2C"/>
    <w:rsid w:val="00947BEC"/>
    <w:rsid w:val="00947C5E"/>
    <w:rsid w:val="00947CB1"/>
    <w:rsid w:val="009502F3"/>
    <w:rsid w:val="00950409"/>
    <w:rsid w:val="00950568"/>
    <w:rsid w:val="0095062E"/>
    <w:rsid w:val="009506E4"/>
    <w:rsid w:val="009507DD"/>
    <w:rsid w:val="0095091F"/>
    <w:rsid w:val="009509EF"/>
    <w:rsid w:val="00950C08"/>
    <w:rsid w:val="00950DD6"/>
    <w:rsid w:val="00950EDE"/>
    <w:rsid w:val="009510F0"/>
    <w:rsid w:val="00951134"/>
    <w:rsid w:val="009511E5"/>
    <w:rsid w:val="00951261"/>
    <w:rsid w:val="00951318"/>
    <w:rsid w:val="009513B7"/>
    <w:rsid w:val="00951436"/>
    <w:rsid w:val="00951439"/>
    <w:rsid w:val="009514DB"/>
    <w:rsid w:val="0095155B"/>
    <w:rsid w:val="009515A3"/>
    <w:rsid w:val="009515B6"/>
    <w:rsid w:val="00951749"/>
    <w:rsid w:val="009517CE"/>
    <w:rsid w:val="00951892"/>
    <w:rsid w:val="0095198C"/>
    <w:rsid w:val="00951B88"/>
    <w:rsid w:val="00951CB4"/>
    <w:rsid w:val="00951E97"/>
    <w:rsid w:val="009520C0"/>
    <w:rsid w:val="009520EF"/>
    <w:rsid w:val="00952503"/>
    <w:rsid w:val="009528F9"/>
    <w:rsid w:val="0095290A"/>
    <w:rsid w:val="00952B0F"/>
    <w:rsid w:val="00952CC4"/>
    <w:rsid w:val="00952EA0"/>
    <w:rsid w:val="00952FB8"/>
    <w:rsid w:val="00953191"/>
    <w:rsid w:val="0095324E"/>
    <w:rsid w:val="009536D1"/>
    <w:rsid w:val="00953756"/>
    <w:rsid w:val="009538CA"/>
    <w:rsid w:val="00953B6A"/>
    <w:rsid w:val="00953C26"/>
    <w:rsid w:val="00953D04"/>
    <w:rsid w:val="00954174"/>
    <w:rsid w:val="00954247"/>
    <w:rsid w:val="0095435A"/>
    <w:rsid w:val="009544F5"/>
    <w:rsid w:val="0095477F"/>
    <w:rsid w:val="0095480A"/>
    <w:rsid w:val="00954BEA"/>
    <w:rsid w:val="00954D52"/>
    <w:rsid w:val="00954D7F"/>
    <w:rsid w:val="0095513C"/>
    <w:rsid w:val="009553C7"/>
    <w:rsid w:val="009554DC"/>
    <w:rsid w:val="00955665"/>
    <w:rsid w:val="009557F8"/>
    <w:rsid w:val="00955944"/>
    <w:rsid w:val="00955AC8"/>
    <w:rsid w:val="00955CF6"/>
    <w:rsid w:val="00955FB8"/>
    <w:rsid w:val="00955FD9"/>
    <w:rsid w:val="0095609A"/>
    <w:rsid w:val="0095668E"/>
    <w:rsid w:val="00956712"/>
    <w:rsid w:val="0095678F"/>
    <w:rsid w:val="009567F0"/>
    <w:rsid w:val="009568B9"/>
    <w:rsid w:val="00956BDE"/>
    <w:rsid w:val="00956C56"/>
    <w:rsid w:val="00956DF4"/>
    <w:rsid w:val="00956EF5"/>
    <w:rsid w:val="009570D3"/>
    <w:rsid w:val="009571A0"/>
    <w:rsid w:val="0095734D"/>
    <w:rsid w:val="0095747C"/>
    <w:rsid w:val="009574D3"/>
    <w:rsid w:val="00957827"/>
    <w:rsid w:val="009579BD"/>
    <w:rsid w:val="00957B84"/>
    <w:rsid w:val="00957BC5"/>
    <w:rsid w:val="00957CFF"/>
    <w:rsid w:val="00957E7A"/>
    <w:rsid w:val="00957E9D"/>
    <w:rsid w:val="00957F4D"/>
    <w:rsid w:val="00960110"/>
    <w:rsid w:val="0096011D"/>
    <w:rsid w:val="00960469"/>
    <w:rsid w:val="009608F0"/>
    <w:rsid w:val="00960A20"/>
    <w:rsid w:val="00960AEA"/>
    <w:rsid w:val="00960C68"/>
    <w:rsid w:val="00960E25"/>
    <w:rsid w:val="00960F06"/>
    <w:rsid w:val="00960F83"/>
    <w:rsid w:val="00961052"/>
    <w:rsid w:val="00961091"/>
    <w:rsid w:val="009610A3"/>
    <w:rsid w:val="009610B5"/>
    <w:rsid w:val="00961201"/>
    <w:rsid w:val="0096122E"/>
    <w:rsid w:val="00961414"/>
    <w:rsid w:val="009618E2"/>
    <w:rsid w:val="00961947"/>
    <w:rsid w:val="009619D6"/>
    <w:rsid w:val="00961BC3"/>
    <w:rsid w:val="00961CDA"/>
    <w:rsid w:val="00961D0B"/>
    <w:rsid w:val="00961D15"/>
    <w:rsid w:val="00961E35"/>
    <w:rsid w:val="00961E54"/>
    <w:rsid w:val="00961E9C"/>
    <w:rsid w:val="00961F0C"/>
    <w:rsid w:val="00962027"/>
    <w:rsid w:val="0096206D"/>
    <w:rsid w:val="009620A3"/>
    <w:rsid w:val="009620A9"/>
    <w:rsid w:val="009621C9"/>
    <w:rsid w:val="0096242B"/>
    <w:rsid w:val="009624DC"/>
    <w:rsid w:val="0096272A"/>
    <w:rsid w:val="0096276B"/>
    <w:rsid w:val="00962822"/>
    <w:rsid w:val="0096284E"/>
    <w:rsid w:val="009629E6"/>
    <w:rsid w:val="00962A01"/>
    <w:rsid w:val="00962C8C"/>
    <w:rsid w:val="00962D45"/>
    <w:rsid w:val="00962E25"/>
    <w:rsid w:val="00963017"/>
    <w:rsid w:val="00963054"/>
    <w:rsid w:val="009630D8"/>
    <w:rsid w:val="009633E6"/>
    <w:rsid w:val="00963415"/>
    <w:rsid w:val="00963470"/>
    <w:rsid w:val="009636D0"/>
    <w:rsid w:val="0096371A"/>
    <w:rsid w:val="0096375B"/>
    <w:rsid w:val="00963876"/>
    <w:rsid w:val="00963922"/>
    <w:rsid w:val="00963940"/>
    <w:rsid w:val="00963955"/>
    <w:rsid w:val="00963B2A"/>
    <w:rsid w:val="00963C43"/>
    <w:rsid w:val="00963D83"/>
    <w:rsid w:val="00963DBD"/>
    <w:rsid w:val="009640B2"/>
    <w:rsid w:val="0096414B"/>
    <w:rsid w:val="0096447C"/>
    <w:rsid w:val="0096448F"/>
    <w:rsid w:val="009645C8"/>
    <w:rsid w:val="0096464E"/>
    <w:rsid w:val="0096470C"/>
    <w:rsid w:val="009647BB"/>
    <w:rsid w:val="0096484A"/>
    <w:rsid w:val="0096493A"/>
    <w:rsid w:val="0096495B"/>
    <w:rsid w:val="00964A02"/>
    <w:rsid w:val="00964E43"/>
    <w:rsid w:val="009650B2"/>
    <w:rsid w:val="009650CF"/>
    <w:rsid w:val="009651D7"/>
    <w:rsid w:val="00965317"/>
    <w:rsid w:val="00965410"/>
    <w:rsid w:val="0096550E"/>
    <w:rsid w:val="009655AF"/>
    <w:rsid w:val="009655F1"/>
    <w:rsid w:val="00965703"/>
    <w:rsid w:val="009657E0"/>
    <w:rsid w:val="00965925"/>
    <w:rsid w:val="00965AA2"/>
    <w:rsid w:val="00965C70"/>
    <w:rsid w:val="00965F84"/>
    <w:rsid w:val="0096601A"/>
    <w:rsid w:val="00966026"/>
    <w:rsid w:val="009660FF"/>
    <w:rsid w:val="009661FB"/>
    <w:rsid w:val="00966238"/>
    <w:rsid w:val="0096645B"/>
    <w:rsid w:val="00966714"/>
    <w:rsid w:val="00966763"/>
    <w:rsid w:val="00966898"/>
    <w:rsid w:val="009668DE"/>
    <w:rsid w:val="00966A3B"/>
    <w:rsid w:val="00966B2D"/>
    <w:rsid w:val="00966BD1"/>
    <w:rsid w:val="00966CAB"/>
    <w:rsid w:val="00966DCA"/>
    <w:rsid w:val="00966DFD"/>
    <w:rsid w:val="00966E87"/>
    <w:rsid w:val="00966F24"/>
    <w:rsid w:val="00967009"/>
    <w:rsid w:val="009670C4"/>
    <w:rsid w:val="009670CB"/>
    <w:rsid w:val="009671D8"/>
    <w:rsid w:val="00967453"/>
    <w:rsid w:val="00967705"/>
    <w:rsid w:val="0096779C"/>
    <w:rsid w:val="009678F2"/>
    <w:rsid w:val="00967902"/>
    <w:rsid w:val="009679C2"/>
    <w:rsid w:val="00967D98"/>
    <w:rsid w:val="00970165"/>
    <w:rsid w:val="00970317"/>
    <w:rsid w:val="0097047F"/>
    <w:rsid w:val="00970516"/>
    <w:rsid w:val="00970567"/>
    <w:rsid w:val="00970581"/>
    <w:rsid w:val="00970660"/>
    <w:rsid w:val="009706F2"/>
    <w:rsid w:val="0097073D"/>
    <w:rsid w:val="00970A51"/>
    <w:rsid w:val="00970AB4"/>
    <w:rsid w:val="00970B2E"/>
    <w:rsid w:val="00970DED"/>
    <w:rsid w:val="00970DF9"/>
    <w:rsid w:val="00970FD0"/>
    <w:rsid w:val="009710D1"/>
    <w:rsid w:val="009711B7"/>
    <w:rsid w:val="009716AB"/>
    <w:rsid w:val="0097173D"/>
    <w:rsid w:val="00971777"/>
    <w:rsid w:val="00971907"/>
    <w:rsid w:val="009719DD"/>
    <w:rsid w:val="00971ACA"/>
    <w:rsid w:val="00971DA0"/>
    <w:rsid w:val="00972183"/>
    <w:rsid w:val="009721EF"/>
    <w:rsid w:val="0097241B"/>
    <w:rsid w:val="0097247C"/>
    <w:rsid w:val="009724CA"/>
    <w:rsid w:val="0097251D"/>
    <w:rsid w:val="009727CB"/>
    <w:rsid w:val="00972856"/>
    <w:rsid w:val="00972920"/>
    <w:rsid w:val="00972C60"/>
    <w:rsid w:val="00972E10"/>
    <w:rsid w:val="00972E2C"/>
    <w:rsid w:val="00972E8F"/>
    <w:rsid w:val="009732C0"/>
    <w:rsid w:val="0097357A"/>
    <w:rsid w:val="00973595"/>
    <w:rsid w:val="009736DE"/>
    <w:rsid w:val="00973766"/>
    <w:rsid w:val="00973901"/>
    <w:rsid w:val="00973A93"/>
    <w:rsid w:val="00973BAF"/>
    <w:rsid w:val="00973DFE"/>
    <w:rsid w:val="00973F13"/>
    <w:rsid w:val="00974000"/>
    <w:rsid w:val="00974248"/>
    <w:rsid w:val="00974432"/>
    <w:rsid w:val="0097460C"/>
    <w:rsid w:val="009746A7"/>
    <w:rsid w:val="0097474F"/>
    <w:rsid w:val="00974AA0"/>
    <w:rsid w:val="00974D7C"/>
    <w:rsid w:val="00974E6B"/>
    <w:rsid w:val="00974FE5"/>
    <w:rsid w:val="00975228"/>
    <w:rsid w:val="0097533B"/>
    <w:rsid w:val="009757DF"/>
    <w:rsid w:val="0097598A"/>
    <w:rsid w:val="00975FB4"/>
    <w:rsid w:val="009760D5"/>
    <w:rsid w:val="0097632E"/>
    <w:rsid w:val="009766E8"/>
    <w:rsid w:val="0097675A"/>
    <w:rsid w:val="009768E1"/>
    <w:rsid w:val="00976907"/>
    <w:rsid w:val="00976A16"/>
    <w:rsid w:val="00976A40"/>
    <w:rsid w:val="00976B65"/>
    <w:rsid w:val="00976C83"/>
    <w:rsid w:val="00976DE3"/>
    <w:rsid w:val="0097701C"/>
    <w:rsid w:val="0097716B"/>
    <w:rsid w:val="00977938"/>
    <w:rsid w:val="00977A24"/>
    <w:rsid w:val="00977ACD"/>
    <w:rsid w:val="00977C5F"/>
    <w:rsid w:val="00977D36"/>
    <w:rsid w:val="00977E26"/>
    <w:rsid w:val="00977EA2"/>
    <w:rsid w:val="00977F33"/>
    <w:rsid w:val="00977F41"/>
    <w:rsid w:val="00977F6A"/>
    <w:rsid w:val="00977FD6"/>
    <w:rsid w:val="00980248"/>
    <w:rsid w:val="0098030F"/>
    <w:rsid w:val="00980324"/>
    <w:rsid w:val="0098049B"/>
    <w:rsid w:val="009807E8"/>
    <w:rsid w:val="009807FB"/>
    <w:rsid w:val="0098087F"/>
    <w:rsid w:val="0098098E"/>
    <w:rsid w:val="009810D3"/>
    <w:rsid w:val="0098118D"/>
    <w:rsid w:val="00981500"/>
    <w:rsid w:val="009815A3"/>
    <w:rsid w:val="009815AF"/>
    <w:rsid w:val="00981A5C"/>
    <w:rsid w:val="00981AAA"/>
    <w:rsid w:val="00981B06"/>
    <w:rsid w:val="00981E51"/>
    <w:rsid w:val="00981EE2"/>
    <w:rsid w:val="009826FC"/>
    <w:rsid w:val="00982713"/>
    <w:rsid w:val="0098275D"/>
    <w:rsid w:val="0098289E"/>
    <w:rsid w:val="00982A96"/>
    <w:rsid w:val="00982B01"/>
    <w:rsid w:val="00982B2F"/>
    <w:rsid w:val="00982BF8"/>
    <w:rsid w:val="00982DB7"/>
    <w:rsid w:val="00982EF6"/>
    <w:rsid w:val="00982F36"/>
    <w:rsid w:val="00983192"/>
    <w:rsid w:val="009831B9"/>
    <w:rsid w:val="0098326A"/>
    <w:rsid w:val="009832CE"/>
    <w:rsid w:val="009832E0"/>
    <w:rsid w:val="00983568"/>
    <w:rsid w:val="00983657"/>
    <w:rsid w:val="00983666"/>
    <w:rsid w:val="009836AB"/>
    <w:rsid w:val="0098383B"/>
    <w:rsid w:val="00983941"/>
    <w:rsid w:val="00983951"/>
    <w:rsid w:val="0098399F"/>
    <w:rsid w:val="00983C72"/>
    <w:rsid w:val="00983F3D"/>
    <w:rsid w:val="00983FB7"/>
    <w:rsid w:val="00984109"/>
    <w:rsid w:val="00984121"/>
    <w:rsid w:val="00984446"/>
    <w:rsid w:val="009844A4"/>
    <w:rsid w:val="00984824"/>
    <w:rsid w:val="00984854"/>
    <w:rsid w:val="00984989"/>
    <w:rsid w:val="00984A22"/>
    <w:rsid w:val="00984A33"/>
    <w:rsid w:val="00984A3E"/>
    <w:rsid w:val="00984AAD"/>
    <w:rsid w:val="00984BFC"/>
    <w:rsid w:val="00984D46"/>
    <w:rsid w:val="00985009"/>
    <w:rsid w:val="0098509E"/>
    <w:rsid w:val="009852A8"/>
    <w:rsid w:val="0098562B"/>
    <w:rsid w:val="00985757"/>
    <w:rsid w:val="009858AE"/>
    <w:rsid w:val="00985B65"/>
    <w:rsid w:val="00985BE3"/>
    <w:rsid w:val="00985DAC"/>
    <w:rsid w:val="00985EC7"/>
    <w:rsid w:val="009861C2"/>
    <w:rsid w:val="009861C9"/>
    <w:rsid w:val="00986502"/>
    <w:rsid w:val="009865B6"/>
    <w:rsid w:val="00986872"/>
    <w:rsid w:val="0098691E"/>
    <w:rsid w:val="00986A94"/>
    <w:rsid w:val="00986B4D"/>
    <w:rsid w:val="00986B56"/>
    <w:rsid w:val="00986B78"/>
    <w:rsid w:val="00986C5B"/>
    <w:rsid w:val="00986E7C"/>
    <w:rsid w:val="00986F46"/>
    <w:rsid w:val="0098715B"/>
    <w:rsid w:val="009871AF"/>
    <w:rsid w:val="009871E0"/>
    <w:rsid w:val="0098763A"/>
    <w:rsid w:val="00987CF8"/>
    <w:rsid w:val="00987D7E"/>
    <w:rsid w:val="00987EB7"/>
    <w:rsid w:val="00987EC9"/>
    <w:rsid w:val="00990197"/>
    <w:rsid w:val="009901F0"/>
    <w:rsid w:val="009903C0"/>
    <w:rsid w:val="009904B7"/>
    <w:rsid w:val="009906C2"/>
    <w:rsid w:val="00990842"/>
    <w:rsid w:val="00990851"/>
    <w:rsid w:val="00990978"/>
    <w:rsid w:val="009909E5"/>
    <w:rsid w:val="00990CDE"/>
    <w:rsid w:val="00990D59"/>
    <w:rsid w:val="00990D9F"/>
    <w:rsid w:val="00990DB9"/>
    <w:rsid w:val="00990E0F"/>
    <w:rsid w:val="00990E20"/>
    <w:rsid w:val="00990E60"/>
    <w:rsid w:val="00990F16"/>
    <w:rsid w:val="009910F9"/>
    <w:rsid w:val="00991233"/>
    <w:rsid w:val="00991603"/>
    <w:rsid w:val="00991DA1"/>
    <w:rsid w:val="00991F61"/>
    <w:rsid w:val="00991F7B"/>
    <w:rsid w:val="009920BF"/>
    <w:rsid w:val="00992183"/>
    <w:rsid w:val="009921E5"/>
    <w:rsid w:val="0099228C"/>
    <w:rsid w:val="0099243F"/>
    <w:rsid w:val="009926EB"/>
    <w:rsid w:val="00992735"/>
    <w:rsid w:val="00992824"/>
    <w:rsid w:val="00992ABB"/>
    <w:rsid w:val="00992C72"/>
    <w:rsid w:val="00992D3A"/>
    <w:rsid w:val="00992DD5"/>
    <w:rsid w:val="00992E10"/>
    <w:rsid w:val="00992E6C"/>
    <w:rsid w:val="00992F0C"/>
    <w:rsid w:val="009932BE"/>
    <w:rsid w:val="009932D2"/>
    <w:rsid w:val="00993522"/>
    <w:rsid w:val="0099356A"/>
    <w:rsid w:val="00993682"/>
    <w:rsid w:val="00993914"/>
    <w:rsid w:val="00993A51"/>
    <w:rsid w:val="00993C5E"/>
    <w:rsid w:val="00993CB5"/>
    <w:rsid w:val="00993DCB"/>
    <w:rsid w:val="00993EF1"/>
    <w:rsid w:val="00993F23"/>
    <w:rsid w:val="00994015"/>
    <w:rsid w:val="0099403B"/>
    <w:rsid w:val="00994241"/>
    <w:rsid w:val="0099427C"/>
    <w:rsid w:val="009944A5"/>
    <w:rsid w:val="00994568"/>
    <w:rsid w:val="009947A8"/>
    <w:rsid w:val="0099485A"/>
    <w:rsid w:val="009948E5"/>
    <w:rsid w:val="0099494A"/>
    <w:rsid w:val="00994966"/>
    <w:rsid w:val="00994C08"/>
    <w:rsid w:val="00994DDA"/>
    <w:rsid w:val="00995132"/>
    <w:rsid w:val="00995189"/>
    <w:rsid w:val="009951AF"/>
    <w:rsid w:val="00995275"/>
    <w:rsid w:val="0099580F"/>
    <w:rsid w:val="009958B2"/>
    <w:rsid w:val="00995A2A"/>
    <w:rsid w:val="00995B93"/>
    <w:rsid w:val="00995B94"/>
    <w:rsid w:val="00995FD5"/>
    <w:rsid w:val="0099609F"/>
    <w:rsid w:val="00996239"/>
    <w:rsid w:val="009965B7"/>
    <w:rsid w:val="009966C9"/>
    <w:rsid w:val="00996747"/>
    <w:rsid w:val="009968FE"/>
    <w:rsid w:val="00996998"/>
    <w:rsid w:val="00996B2C"/>
    <w:rsid w:val="00996BAD"/>
    <w:rsid w:val="00996C62"/>
    <w:rsid w:val="00996D01"/>
    <w:rsid w:val="00996D40"/>
    <w:rsid w:val="00996D9D"/>
    <w:rsid w:val="00997098"/>
    <w:rsid w:val="009973F7"/>
    <w:rsid w:val="009973FA"/>
    <w:rsid w:val="00997507"/>
    <w:rsid w:val="00997568"/>
    <w:rsid w:val="009975C3"/>
    <w:rsid w:val="009976AA"/>
    <w:rsid w:val="00997CE7"/>
    <w:rsid w:val="00997CFA"/>
    <w:rsid w:val="00997DAE"/>
    <w:rsid w:val="00997E40"/>
    <w:rsid w:val="00997F9D"/>
    <w:rsid w:val="009A00CB"/>
    <w:rsid w:val="009A013C"/>
    <w:rsid w:val="009A014B"/>
    <w:rsid w:val="009A0208"/>
    <w:rsid w:val="009A04A5"/>
    <w:rsid w:val="009A054F"/>
    <w:rsid w:val="009A06CF"/>
    <w:rsid w:val="009A087C"/>
    <w:rsid w:val="009A08CA"/>
    <w:rsid w:val="009A0A32"/>
    <w:rsid w:val="009A0B63"/>
    <w:rsid w:val="009A0B96"/>
    <w:rsid w:val="009A0BE9"/>
    <w:rsid w:val="009A0BEB"/>
    <w:rsid w:val="009A0CF8"/>
    <w:rsid w:val="009A0FBA"/>
    <w:rsid w:val="009A11C8"/>
    <w:rsid w:val="009A12AD"/>
    <w:rsid w:val="009A1384"/>
    <w:rsid w:val="009A1703"/>
    <w:rsid w:val="009A1732"/>
    <w:rsid w:val="009A195E"/>
    <w:rsid w:val="009A1B09"/>
    <w:rsid w:val="009A1FA1"/>
    <w:rsid w:val="009A208A"/>
    <w:rsid w:val="009A20F9"/>
    <w:rsid w:val="009A21DF"/>
    <w:rsid w:val="009A225E"/>
    <w:rsid w:val="009A2365"/>
    <w:rsid w:val="009A2487"/>
    <w:rsid w:val="009A27A7"/>
    <w:rsid w:val="009A29EF"/>
    <w:rsid w:val="009A2A20"/>
    <w:rsid w:val="009A2A42"/>
    <w:rsid w:val="009A2A53"/>
    <w:rsid w:val="009A2A6B"/>
    <w:rsid w:val="009A2B30"/>
    <w:rsid w:val="009A2BEF"/>
    <w:rsid w:val="009A2D0C"/>
    <w:rsid w:val="009A2E31"/>
    <w:rsid w:val="009A2E96"/>
    <w:rsid w:val="009A2EAA"/>
    <w:rsid w:val="009A304D"/>
    <w:rsid w:val="009A326E"/>
    <w:rsid w:val="009A3943"/>
    <w:rsid w:val="009A3B3B"/>
    <w:rsid w:val="009A3BB1"/>
    <w:rsid w:val="009A3C63"/>
    <w:rsid w:val="009A3EC8"/>
    <w:rsid w:val="009A3F74"/>
    <w:rsid w:val="009A3FDE"/>
    <w:rsid w:val="009A419B"/>
    <w:rsid w:val="009A41D3"/>
    <w:rsid w:val="009A429B"/>
    <w:rsid w:val="009A42B2"/>
    <w:rsid w:val="009A42FA"/>
    <w:rsid w:val="009A4450"/>
    <w:rsid w:val="009A44F6"/>
    <w:rsid w:val="009A4521"/>
    <w:rsid w:val="009A453D"/>
    <w:rsid w:val="009A4562"/>
    <w:rsid w:val="009A45ED"/>
    <w:rsid w:val="009A47DE"/>
    <w:rsid w:val="009A4850"/>
    <w:rsid w:val="009A4864"/>
    <w:rsid w:val="009A49F5"/>
    <w:rsid w:val="009A4A3D"/>
    <w:rsid w:val="009A4DC7"/>
    <w:rsid w:val="009A4E0B"/>
    <w:rsid w:val="009A4E6F"/>
    <w:rsid w:val="009A4EF7"/>
    <w:rsid w:val="009A4F86"/>
    <w:rsid w:val="009A50B2"/>
    <w:rsid w:val="009A50D2"/>
    <w:rsid w:val="009A5288"/>
    <w:rsid w:val="009A573C"/>
    <w:rsid w:val="009A5845"/>
    <w:rsid w:val="009A5897"/>
    <w:rsid w:val="009A5BEF"/>
    <w:rsid w:val="009A5CE8"/>
    <w:rsid w:val="009A5FB7"/>
    <w:rsid w:val="009A61FC"/>
    <w:rsid w:val="009A630F"/>
    <w:rsid w:val="009A6638"/>
    <w:rsid w:val="009A6AB4"/>
    <w:rsid w:val="009A6B73"/>
    <w:rsid w:val="009A6C40"/>
    <w:rsid w:val="009A6D77"/>
    <w:rsid w:val="009A71AD"/>
    <w:rsid w:val="009A7425"/>
    <w:rsid w:val="009A750B"/>
    <w:rsid w:val="009A77DB"/>
    <w:rsid w:val="009A7AE2"/>
    <w:rsid w:val="009A7DA6"/>
    <w:rsid w:val="009A7E10"/>
    <w:rsid w:val="009A7FD5"/>
    <w:rsid w:val="009B0056"/>
    <w:rsid w:val="009B04E9"/>
    <w:rsid w:val="009B04F9"/>
    <w:rsid w:val="009B0687"/>
    <w:rsid w:val="009B077A"/>
    <w:rsid w:val="009B081E"/>
    <w:rsid w:val="009B091F"/>
    <w:rsid w:val="009B097C"/>
    <w:rsid w:val="009B0F7F"/>
    <w:rsid w:val="009B106C"/>
    <w:rsid w:val="009B133B"/>
    <w:rsid w:val="009B14EC"/>
    <w:rsid w:val="009B1616"/>
    <w:rsid w:val="009B1795"/>
    <w:rsid w:val="009B199D"/>
    <w:rsid w:val="009B1A43"/>
    <w:rsid w:val="009B1BBA"/>
    <w:rsid w:val="009B1D7D"/>
    <w:rsid w:val="009B1FCD"/>
    <w:rsid w:val="009B202F"/>
    <w:rsid w:val="009B2051"/>
    <w:rsid w:val="009B269D"/>
    <w:rsid w:val="009B26F2"/>
    <w:rsid w:val="009B2766"/>
    <w:rsid w:val="009B287B"/>
    <w:rsid w:val="009B296D"/>
    <w:rsid w:val="009B2ADA"/>
    <w:rsid w:val="009B2B15"/>
    <w:rsid w:val="009B2B48"/>
    <w:rsid w:val="009B2BE1"/>
    <w:rsid w:val="009B300B"/>
    <w:rsid w:val="009B315E"/>
    <w:rsid w:val="009B31C7"/>
    <w:rsid w:val="009B31D6"/>
    <w:rsid w:val="009B33DD"/>
    <w:rsid w:val="009B3502"/>
    <w:rsid w:val="009B357C"/>
    <w:rsid w:val="009B3663"/>
    <w:rsid w:val="009B3762"/>
    <w:rsid w:val="009B390D"/>
    <w:rsid w:val="009B3A7A"/>
    <w:rsid w:val="009B4045"/>
    <w:rsid w:val="009B41AD"/>
    <w:rsid w:val="009B4440"/>
    <w:rsid w:val="009B476D"/>
    <w:rsid w:val="009B4A26"/>
    <w:rsid w:val="009B4BE2"/>
    <w:rsid w:val="009B4E9D"/>
    <w:rsid w:val="009B4F5F"/>
    <w:rsid w:val="009B5200"/>
    <w:rsid w:val="009B550C"/>
    <w:rsid w:val="009B567E"/>
    <w:rsid w:val="009B5720"/>
    <w:rsid w:val="009B57BD"/>
    <w:rsid w:val="009B59A9"/>
    <w:rsid w:val="009B5E57"/>
    <w:rsid w:val="009B5F56"/>
    <w:rsid w:val="009B60A3"/>
    <w:rsid w:val="009B6119"/>
    <w:rsid w:val="009B6162"/>
    <w:rsid w:val="009B62DB"/>
    <w:rsid w:val="009B6412"/>
    <w:rsid w:val="009B666B"/>
    <w:rsid w:val="009B667C"/>
    <w:rsid w:val="009B671E"/>
    <w:rsid w:val="009B675B"/>
    <w:rsid w:val="009B677C"/>
    <w:rsid w:val="009B690E"/>
    <w:rsid w:val="009B69CD"/>
    <w:rsid w:val="009B6A63"/>
    <w:rsid w:val="009B6A79"/>
    <w:rsid w:val="009B6B62"/>
    <w:rsid w:val="009B6B99"/>
    <w:rsid w:val="009B6BA0"/>
    <w:rsid w:val="009B6BC3"/>
    <w:rsid w:val="009B6E22"/>
    <w:rsid w:val="009B6FA1"/>
    <w:rsid w:val="009B71D9"/>
    <w:rsid w:val="009B72C3"/>
    <w:rsid w:val="009B756E"/>
    <w:rsid w:val="009B76F5"/>
    <w:rsid w:val="009B7770"/>
    <w:rsid w:val="009B7962"/>
    <w:rsid w:val="009B7A53"/>
    <w:rsid w:val="009B7CCB"/>
    <w:rsid w:val="009B7FD5"/>
    <w:rsid w:val="009C00E2"/>
    <w:rsid w:val="009C0210"/>
    <w:rsid w:val="009C02C4"/>
    <w:rsid w:val="009C0457"/>
    <w:rsid w:val="009C0593"/>
    <w:rsid w:val="009C0641"/>
    <w:rsid w:val="009C06FB"/>
    <w:rsid w:val="009C0AB5"/>
    <w:rsid w:val="009C0D13"/>
    <w:rsid w:val="009C0D18"/>
    <w:rsid w:val="009C0D26"/>
    <w:rsid w:val="009C0D35"/>
    <w:rsid w:val="009C0DD3"/>
    <w:rsid w:val="009C0E50"/>
    <w:rsid w:val="009C0EB3"/>
    <w:rsid w:val="009C0F41"/>
    <w:rsid w:val="009C113B"/>
    <w:rsid w:val="009C1469"/>
    <w:rsid w:val="009C164F"/>
    <w:rsid w:val="009C1952"/>
    <w:rsid w:val="009C19FD"/>
    <w:rsid w:val="009C1AB7"/>
    <w:rsid w:val="009C1B0D"/>
    <w:rsid w:val="009C1C43"/>
    <w:rsid w:val="009C1D4A"/>
    <w:rsid w:val="009C1F1D"/>
    <w:rsid w:val="009C1F93"/>
    <w:rsid w:val="009C1FD5"/>
    <w:rsid w:val="009C2112"/>
    <w:rsid w:val="009C227C"/>
    <w:rsid w:val="009C2370"/>
    <w:rsid w:val="009C2626"/>
    <w:rsid w:val="009C2A07"/>
    <w:rsid w:val="009C2AB5"/>
    <w:rsid w:val="009C2DA1"/>
    <w:rsid w:val="009C2E9A"/>
    <w:rsid w:val="009C318A"/>
    <w:rsid w:val="009C3239"/>
    <w:rsid w:val="009C3294"/>
    <w:rsid w:val="009C3326"/>
    <w:rsid w:val="009C3377"/>
    <w:rsid w:val="009C33F4"/>
    <w:rsid w:val="009C3440"/>
    <w:rsid w:val="009C364C"/>
    <w:rsid w:val="009C38E4"/>
    <w:rsid w:val="009C3B29"/>
    <w:rsid w:val="009C3B5C"/>
    <w:rsid w:val="009C3B5F"/>
    <w:rsid w:val="009C3BCF"/>
    <w:rsid w:val="009C3E57"/>
    <w:rsid w:val="009C3F0F"/>
    <w:rsid w:val="009C4584"/>
    <w:rsid w:val="009C4666"/>
    <w:rsid w:val="009C46B8"/>
    <w:rsid w:val="009C497A"/>
    <w:rsid w:val="009C4B17"/>
    <w:rsid w:val="009C4B3B"/>
    <w:rsid w:val="009C4C1A"/>
    <w:rsid w:val="009C4DCA"/>
    <w:rsid w:val="009C4F52"/>
    <w:rsid w:val="009C4F5C"/>
    <w:rsid w:val="009C5085"/>
    <w:rsid w:val="009C513F"/>
    <w:rsid w:val="009C52E0"/>
    <w:rsid w:val="009C54EC"/>
    <w:rsid w:val="009C55A3"/>
    <w:rsid w:val="009C57BD"/>
    <w:rsid w:val="009C5925"/>
    <w:rsid w:val="009C625E"/>
    <w:rsid w:val="009C6333"/>
    <w:rsid w:val="009C636C"/>
    <w:rsid w:val="009C6522"/>
    <w:rsid w:val="009C65B5"/>
    <w:rsid w:val="009C690E"/>
    <w:rsid w:val="009C6925"/>
    <w:rsid w:val="009C6A37"/>
    <w:rsid w:val="009C6A38"/>
    <w:rsid w:val="009C6A44"/>
    <w:rsid w:val="009C6C57"/>
    <w:rsid w:val="009C6CBA"/>
    <w:rsid w:val="009C6CBB"/>
    <w:rsid w:val="009C6DAB"/>
    <w:rsid w:val="009C6E05"/>
    <w:rsid w:val="009C6E83"/>
    <w:rsid w:val="009C6EDA"/>
    <w:rsid w:val="009C712A"/>
    <w:rsid w:val="009C7217"/>
    <w:rsid w:val="009C72BE"/>
    <w:rsid w:val="009C7403"/>
    <w:rsid w:val="009C7573"/>
    <w:rsid w:val="009C7818"/>
    <w:rsid w:val="009C7830"/>
    <w:rsid w:val="009C78EB"/>
    <w:rsid w:val="009C798E"/>
    <w:rsid w:val="009C7AD8"/>
    <w:rsid w:val="009C7C99"/>
    <w:rsid w:val="009C7DEE"/>
    <w:rsid w:val="009C7EC5"/>
    <w:rsid w:val="009D0107"/>
    <w:rsid w:val="009D0159"/>
    <w:rsid w:val="009D017E"/>
    <w:rsid w:val="009D0190"/>
    <w:rsid w:val="009D0533"/>
    <w:rsid w:val="009D053F"/>
    <w:rsid w:val="009D06C5"/>
    <w:rsid w:val="009D0754"/>
    <w:rsid w:val="009D0757"/>
    <w:rsid w:val="009D0966"/>
    <w:rsid w:val="009D0A22"/>
    <w:rsid w:val="009D0AEA"/>
    <w:rsid w:val="009D0FA6"/>
    <w:rsid w:val="009D10D6"/>
    <w:rsid w:val="009D1287"/>
    <w:rsid w:val="009D139A"/>
    <w:rsid w:val="009D1400"/>
    <w:rsid w:val="009D14EC"/>
    <w:rsid w:val="009D16FE"/>
    <w:rsid w:val="009D1734"/>
    <w:rsid w:val="009D189E"/>
    <w:rsid w:val="009D1996"/>
    <w:rsid w:val="009D1B26"/>
    <w:rsid w:val="009D1BCF"/>
    <w:rsid w:val="009D1C72"/>
    <w:rsid w:val="009D1DB0"/>
    <w:rsid w:val="009D1EFA"/>
    <w:rsid w:val="009D1FAF"/>
    <w:rsid w:val="009D2100"/>
    <w:rsid w:val="009D21BA"/>
    <w:rsid w:val="009D22E6"/>
    <w:rsid w:val="009D23EA"/>
    <w:rsid w:val="009D25FE"/>
    <w:rsid w:val="009D275F"/>
    <w:rsid w:val="009D27D9"/>
    <w:rsid w:val="009D282D"/>
    <w:rsid w:val="009D29A2"/>
    <w:rsid w:val="009D2A00"/>
    <w:rsid w:val="009D2AEC"/>
    <w:rsid w:val="009D2B04"/>
    <w:rsid w:val="009D2B66"/>
    <w:rsid w:val="009D2D0D"/>
    <w:rsid w:val="009D3144"/>
    <w:rsid w:val="009D31D2"/>
    <w:rsid w:val="009D31E2"/>
    <w:rsid w:val="009D33DD"/>
    <w:rsid w:val="009D349C"/>
    <w:rsid w:val="009D3881"/>
    <w:rsid w:val="009D3A39"/>
    <w:rsid w:val="009D3DCD"/>
    <w:rsid w:val="009D3EE1"/>
    <w:rsid w:val="009D3EE3"/>
    <w:rsid w:val="009D3FE3"/>
    <w:rsid w:val="009D427C"/>
    <w:rsid w:val="009D44E5"/>
    <w:rsid w:val="009D45D3"/>
    <w:rsid w:val="009D45F9"/>
    <w:rsid w:val="009D471D"/>
    <w:rsid w:val="009D49F2"/>
    <w:rsid w:val="009D4A7E"/>
    <w:rsid w:val="009D5095"/>
    <w:rsid w:val="009D51C5"/>
    <w:rsid w:val="009D5381"/>
    <w:rsid w:val="009D5448"/>
    <w:rsid w:val="009D54D8"/>
    <w:rsid w:val="009D5506"/>
    <w:rsid w:val="009D5541"/>
    <w:rsid w:val="009D564F"/>
    <w:rsid w:val="009D570E"/>
    <w:rsid w:val="009D57D4"/>
    <w:rsid w:val="009D589E"/>
    <w:rsid w:val="009D5A6B"/>
    <w:rsid w:val="009D5B00"/>
    <w:rsid w:val="009D5B59"/>
    <w:rsid w:val="009D5B9C"/>
    <w:rsid w:val="009D5C50"/>
    <w:rsid w:val="009D5D56"/>
    <w:rsid w:val="009D5D76"/>
    <w:rsid w:val="009D5DCB"/>
    <w:rsid w:val="009D5E10"/>
    <w:rsid w:val="009D5E2A"/>
    <w:rsid w:val="009D5F6B"/>
    <w:rsid w:val="009D61CF"/>
    <w:rsid w:val="009D655C"/>
    <w:rsid w:val="009D6656"/>
    <w:rsid w:val="009D6718"/>
    <w:rsid w:val="009D67BB"/>
    <w:rsid w:val="009D67C1"/>
    <w:rsid w:val="009D68C3"/>
    <w:rsid w:val="009D6CF2"/>
    <w:rsid w:val="009D6D97"/>
    <w:rsid w:val="009D6E3F"/>
    <w:rsid w:val="009D6EF4"/>
    <w:rsid w:val="009D6FD1"/>
    <w:rsid w:val="009D708E"/>
    <w:rsid w:val="009D7276"/>
    <w:rsid w:val="009D73DD"/>
    <w:rsid w:val="009D73DE"/>
    <w:rsid w:val="009D752C"/>
    <w:rsid w:val="009D7678"/>
    <w:rsid w:val="009D7688"/>
    <w:rsid w:val="009D7725"/>
    <w:rsid w:val="009D78B4"/>
    <w:rsid w:val="009D79C3"/>
    <w:rsid w:val="009D7B89"/>
    <w:rsid w:val="009D7CC4"/>
    <w:rsid w:val="009D7F37"/>
    <w:rsid w:val="009D7FE0"/>
    <w:rsid w:val="009D7FE8"/>
    <w:rsid w:val="009E0365"/>
    <w:rsid w:val="009E04BD"/>
    <w:rsid w:val="009E04FF"/>
    <w:rsid w:val="009E0569"/>
    <w:rsid w:val="009E05B5"/>
    <w:rsid w:val="009E09C8"/>
    <w:rsid w:val="009E0BD8"/>
    <w:rsid w:val="009E0D19"/>
    <w:rsid w:val="009E1070"/>
    <w:rsid w:val="009E10F1"/>
    <w:rsid w:val="009E1220"/>
    <w:rsid w:val="009E129C"/>
    <w:rsid w:val="009E1428"/>
    <w:rsid w:val="009E146C"/>
    <w:rsid w:val="009E1879"/>
    <w:rsid w:val="009E1947"/>
    <w:rsid w:val="009E1B02"/>
    <w:rsid w:val="009E1C37"/>
    <w:rsid w:val="009E1DCC"/>
    <w:rsid w:val="009E1E2E"/>
    <w:rsid w:val="009E1F70"/>
    <w:rsid w:val="009E2015"/>
    <w:rsid w:val="009E218E"/>
    <w:rsid w:val="009E223C"/>
    <w:rsid w:val="009E232E"/>
    <w:rsid w:val="009E255A"/>
    <w:rsid w:val="009E25E2"/>
    <w:rsid w:val="009E269B"/>
    <w:rsid w:val="009E27D4"/>
    <w:rsid w:val="009E27EA"/>
    <w:rsid w:val="009E28C8"/>
    <w:rsid w:val="009E2920"/>
    <w:rsid w:val="009E29CD"/>
    <w:rsid w:val="009E29E6"/>
    <w:rsid w:val="009E2A31"/>
    <w:rsid w:val="009E2A8E"/>
    <w:rsid w:val="009E2C8C"/>
    <w:rsid w:val="009E2CF4"/>
    <w:rsid w:val="009E2FA7"/>
    <w:rsid w:val="009E31DB"/>
    <w:rsid w:val="009E31F6"/>
    <w:rsid w:val="009E33EF"/>
    <w:rsid w:val="009E33F1"/>
    <w:rsid w:val="009E35A8"/>
    <w:rsid w:val="009E3699"/>
    <w:rsid w:val="009E3A01"/>
    <w:rsid w:val="009E3A65"/>
    <w:rsid w:val="009E3F49"/>
    <w:rsid w:val="009E4001"/>
    <w:rsid w:val="009E4044"/>
    <w:rsid w:val="009E40D8"/>
    <w:rsid w:val="009E427E"/>
    <w:rsid w:val="009E42D6"/>
    <w:rsid w:val="009E4472"/>
    <w:rsid w:val="009E44EE"/>
    <w:rsid w:val="009E4532"/>
    <w:rsid w:val="009E4633"/>
    <w:rsid w:val="009E49BF"/>
    <w:rsid w:val="009E49D3"/>
    <w:rsid w:val="009E4BBC"/>
    <w:rsid w:val="009E4CFA"/>
    <w:rsid w:val="009E4D0B"/>
    <w:rsid w:val="009E4D9B"/>
    <w:rsid w:val="009E4DCC"/>
    <w:rsid w:val="009E4F20"/>
    <w:rsid w:val="009E505B"/>
    <w:rsid w:val="009E5087"/>
    <w:rsid w:val="009E5188"/>
    <w:rsid w:val="009E52ED"/>
    <w:rsid w:val="009E52F8"/>
    <w:rsid w:val="009E545D"/>
    <w:rsid w:val="009E54C2"/>
    <w:rsid w:val="009E54EE"/>
    <w:rsid w:val="009E5878"/>
    <w:rsid w:val="009E5A18"/>
    <w:rsid w:val="009E5AD1"/>
    <w:rsid w:val="009E5B3C"/>
    <w:rsid w:val="009E5C9B"/>
    <w:rsid w:val="009E5CAF"/>
    <w:rsid w:val="009E5CFA"/>
    <w:rsid w:val="009E5D90"/>
    <w:rsid w:val="009E606A"/>
    <w:rsid w:val="009E609D"/>
    <w:rsid w:val="009E6212"/>
    <w:rsid w:val="009E6371"/>
    <w:rsid w:val="009E63D2"/>
    <w:rsid w:val="009E6517"/>
    <w:rsid w:val="009E668D"/>
    <w:rsid w:val="009E6695"/>
    <w:rsid w:val="009E68E5"/>
    <w:rsid w:val="009E6961"/>
    <w:rsid w:val="009E6B1F"/>
    <w:rsid w:val="009E6C89"/>
    <w:rsid w:val="009E6E33"/>
    <w:rsid w:val="009E6FCF"/>
    <w:rsid w:val="009E6FF4"/>
    <w:rsid w:val="009E7191"/>
    <w:rsid w:val="009E7206"/>
    <w:rsid w:val="009E722A"/>
    <w:rsid w:val="009E741C"/>
    <w:rsid w:val="009E75B0"/>
    <w:rsid w:val="009E75B2"/>
    <w:rsid w:val="009E7646"/>
    <w:rsid w:val="009E7917"/>
    <w:rsid w:val="009E7AA9"/>
    <w:rsid w:val="009E7CF8"/>
    <w:rsid w:val="009F0057"/>
    <w:rsid w:val="009F011F"/>
    <w:rsid w:val="009F019E"/>
    <w:rsid w:val="009F025C"/>
    <w:rsid w:val="009F066D"/>
    <w:rsid w:val="009F08B4"/>
    <w:rsid w:val="009F08F3"/>
    <w:rsid w:val="009F0A01"/>
    <w:rsid w:val="009F0AE6"/>
    <w:rsid w:val="009F0BD9"/>
    <w:rsid w:val="009F0C23"/>
    <w:rsid w:val="009F1056"/>
    <w:rsid w:val="009F12F8"/>
    <w:rsid w:val="009F1350"/>
    <w:rsid w:val="009F14B5"/>
    <w:rsid w:val="009F1563"/>
    <w:rsid w:val="009F1626"/>
    <w:rsid w:val="009F17D6"/>
    <w:rsid w:val="009F191B"/>
    <w:rsid w:val="009F1C0E"/>
    <w:rsid w:val="009F1DF9"/>
    <w:rsid w:val="009F200F"/>
    <w:rsid w:val="009F211D"/>
    <w:rsid w:val="009F2209"/>
    <w:rsid w:val="009F2281"/>
    <w:rsid w:val="009F22CB"/>
    <w:rsid w:val="009F2349"/>
    <w:rsid w:val="009F265B"/>
    <w:rsid w:val="009F271E"/>
    <w:rsid w:val="009F2940"/>
    <w:rsid w:val="009F2A3B"/>
    <w:rsid w:val="009F2B64"/>
    <w:rsid w:val="009F2C77"/>
    <w:rsid w:val="009F2E2E"/>
    <w:rsid w:val="009F307D"/>
    <w:rsid w:val="009F37FE"/>
    <w:rsid w:val="009F382A"/>
    <w:rsid w:val="009F39C1"/>
    <w:rsid w:val="009F3BF5"/>
    <w:rsid w:val="009F41D3"/>
    <w:rsid w:val="009F4249"/>
    <w:rsid w:val="009F48D3"/>
    <w:rsid w:val="009F4BF0"/>
    <w:rsid w:val="009F4C0E"/>
    <w:rsid w:val="009F4E8E"/>
    <w:rsid w:val="009F4EA5"/>
    <w:rsid w:val="009F4F08"/>
    <w:rsid w:val="009F4FB2"/>
    <w:rsid w:val="009F5022"/>
    <w:rsid w:val="009F5107"/>
    <w:rsid w:val="009F516C"/>
    <w:rsid w:val="009F521C"/>
    <w:rsid w:val="009F530E"/>
    <w:rsid w:val="009F5427"/>
    <w:rsid w:val="009F5594"/>
    <w:rsid w:val="009F5668"/>
    <w:rsid w:val="009F5674"/>
    <w:rsid w:val="009F56A3"/>
    <w:rsid w:val="009F56D2"/>
    <w:rsid w:val="009F572D"/>
    <w:rsid w:val="009F58C5"/>
    <w:rsid w:val="009F5976"/>
    <w:rsid w:val="009F5B84"/>
    <w:rsid w:val="009F5CDD"/>
    <w:rsid w:val="009F5CE3"/>
    <w:rsid w:val="009F607C"/>
    <w:rsid w:val="009F615A"/>
    <w:rsid w:val="009F617A"/>
    <w:rsid w:val="009F622D"/>
    <w:rsid w:val="009F62CF"/>
    <w:rsid w:val="009F630A"/>
    <w:rsid w:val="009F655A"/>
    <w:rsid w:val="009F68D9"/>
    <w:rsid w:val="009F6BBA"/>
    <w:rsid w:val="009F6C00"/>
    <w:rsid w:val="009F6E27"/>
    <w:rsid w:val="009F6E86"/>
    <w:rsid w:val="009F70E3"/>
    <w:rsid w:val="009F711F"/>
    <w:rsid w:val="009F7125"/>
    <w:rsid w:val="009F724D"/>
    <w:rsid w:val="009F7271"/>
    <w:rsid w:val="009F732D"/>
    <w:rsid w:val="009F737B"/>
    <w:rsid w:val="009F73D1"/>
    <w:rsid w:val="009F74E0"/>
    <w:rsid w:val="009F7550"/>
    <w:rsid w:val="009F7870"/>
    <w:rsid w:val="009F7A0E"/>
    <w:rsid w:val="009F7B07"/>
    <w:rsid w:val="009F7D0A"/>
    <w:rsid w:val="009F7D18"/>
    <w:rsid w:val="009F7FA9"/>
    <w:rsid w:val="00A00500"/>
    <w:rsid w:val="00A006A7"/>
    <w:rsid w:val="00A00834"/>
    <w:rsid w:val="00A0098E"/>
    <w:rsid w:val="00A00A18"/>
    <w:rsid w:val="00A00C34"/>
    <w:rsid w:val="00A00D89"/>
    <w:rsid w:val="00A010E7"/>
    <w:rsid w:val="00A0117E"/>
    <w:rsid w:val="00A01234"/>
    <w:rsid w:val="00A0142D"/>
    <w:rsid w:val="00A019E9"/>
    <w:rsid w:val="00A01A13"/>
    <w:rsid w:val="00A01AC5"/>
    <w:rsid w:val="00A01FE4"/>
    <w:rsid w:val="00A021A5"/>
    <w:rsid w:val="00A02300"/>
    <w:rsid w:val="00A023C8"/>
    <w:rsid w:val="00A0240C"/>
    <w:rsid w:val="00A0243A"/>
    <w:rsid w:val="00A0260B"/>
    <w:rsid w:val="00A028C5"/>
    <w:rsid w:val="00A0295E"/>
    <w:rsid w:val="00A02B4B"/>
    <w:rsid w:val="00A02B68"/>
    <w:rsid w:val="00A02CFC"/>
    <w:rsid w:val="00A030C0"/>
    <w:rsid w:val="00A03547"/>
    <w:rsid w:val="00A0391E"/>
    <w:rsid w:val="00A03AAF"/>
    <w:rsid w:val="00A03AF8"/>
    <w:rsid w:val="00A03AFD"/>
    <w:rsid w:val="00A03B8F"/>
    <w:rsid w:val="00A03BF0"/>
    <w:rsid w:val="00A03C1A"/>
    <w:rsid w:val="00A03C26"/>
    <w:rsid w:val="00A03C79"/>
    <w:rsid w:val="00A03D0F"/>
    <w:rsid w:val="00A03E5A"/>
    <w:rsid w:val="00A03EDD"/>
    <w:rsid w:val="00A04225"/>
    <w:rsid w:val="00A044BA"/>
    <w:rsid w:val="00A046EF"/>
    <w:rsid w:val="00A049EE"/>
    <w:rsid w:val="00A051A8"/>
    <w:rsid w:val="00A05387"/>
    <w:rsid w:val="00A0544E"/>
    <w:rsid w:val="00A055AE"/>
    <w:rsid w:val="00A05750"/>
    <w:rsid w:val="00A0596B"/>
    <w:rsid w:val="00A05E49"/>
    <w:rsid w:val="00A0608C"/>
    <w:rsid w:val="00A0624A"/>
    <w:rsid w:val="00A06343"/>
    <w:rsid w:val="00A063E9"/>
    <w:rsid w:val="00A063F1"/>
    <w:rsid w:val="00A06550"/>
    <w:rsid w:val="00A0679C"/>
    <w:rsid w:val="00A06CBB"/>
    <w:rsid w:val="00A06CC9"/>
    <w:rsid w:val="00A06D32"/>
    <w:rsid w:val="00A06E8E"/>
    <w:rsid w:val="00A070C4"/>
    <w:rsid w:val="00A070FB"/>
    <w:rsid w:val="00A07210"/>
    <w:rsid w:val="00A07211"/>
    <w:rsid w:val="00A0724A"/>
    <w:rsid w:val="00A073E9"/>
    <w:rsid w:val="00A074BB"/>
    <w:rsid w:val="00A07557"/>
    <w:rsid w:val="00A07687"/>
    <w:rsid w:val="00A076DE"/>
    <w:rsid w:val="00A0793D"/>
    <w:rsid w:val="00A07A33"/>
    <w:rsid w:val="00A07BD9"/>
    <w:rsid w:val="00A07E78"/>
    <w:rsid w:val="00A07FA3"/>
    <w:rsid w:val="00A10038"/>
    <w:rsid w:val="00A100A7"/>
    <w:rsid w:val="00A103D2"/>
    <w:rsid w:val="00A10576"/>
    <w:rsid w:val="00A105A4"/>
    <w:rsid w:val="00A10670"/>
    <w:rsid w:val="00A10796"/>
    <w:rsid w:val="00A107BF"/>
    <w:rsid w:val="00A10897"/>
    <w:rsid w:val="00A108EC"/>
    <w:rsid w:val="00A109BD"/>
    <w:rsid w:val="00A109FB"/>
    <w:rsid w:val="00A10C6B"/>
    <w:rsid w:val="00A10C9D"/>
    <w:rsid w:val="00A10D9F"/>
    <w:rsid w:val="00A10DE6"/>
    <w:rsid w:val="00A10F3E"/>
    <w:rsid w:val="00A110C2"/>
    <w:rsid w:val="00A110D3"/>
    <w:rsid w:val="00A111AE"/>
    <w:rsid w:val="00A11256"/>
    <w:rsid w:val="00A113AE"/>
    <w:rsid w:val="00A113E8"/>
    <w:rsid w:val="00A114D6"/>
    <w:rsid w:val="00A11691"/>
    <w:rsid w:val="00A117AC"/>
    <w:rsid w:val="00A11800"/>
    <w:rsid w:val="00A118CF"/>
    <w:rsid w:val="00A11B72"/>
    <w:rsid w:val="00A11BBC"/>
    <w:rsid w:val="00A11DC9"/>
    <w:rsid w:val="00A1205D"/>
    <w:rsid w:val="00A120AB"/>
    <w:rsid w:val="00A120D9"/>
    <w:rsid w:val="00A122A5"/>
    <w:rsid w:val="00A122F4"/>
    <w:rsid w:val="00A1233D"/>
    <w:rsid w:val="00A12443"/>
    <w:rsid w:val="00A1245E"/>
    <w:rsid w:val="00A129DA"/>
    <w:rsid w:val="00A12AEB"/>
    <w:rsid w:val="00A12B3C"/>
    <w:rsid w:val="00A12DED"/>
    <w:rsid w:val="00A12F35"/>
    <w:rsid w:val="00A13071"/>
    <w:rsid w:val="00A1312E"/>
    <w:rsid w:val="00A131DD"/>
    <w:rsid w:val="00A1322F"/>
    <w:rsid w:val="00A132F9"/>
    <w:rsid w:val="00A13347"/>
    <w:rsid w:val="00A13391"/>
    <w:rsid w:val="00A134BF"/>
    <w:rsid w:val="00A1361A"/>
    <w:rsid w:val="00A136A7"/>
    <w:rsid w:val="00A13CBB"/>
    <w:rsid w:val="00A13DC7"/>
    <w:rsid w:val="00A13FA9"/>
    <w:rsid w:val="00A14134"/>
    <w:rsid w:val="00A141DF"/>
    <w:rsid w:val="00A14267"/>
    <w:rsid w:val="00A1426C"/>
    <w:rsid w:val="00A142A2"/>
    <w:rsid w:val="00A142A8"/>
    <w:rsid w:val="00A142DF"/>
    <w:rsid w:val="00A1435C"/>
    <w:rsid w:val="00A14428"/>
    <w:rsid w:val="00A14762"/>
    <w:rsid w:val="00A14C21"/>
    <w:rsid w:val="00A14C3D"/>
    <w:rsid w:val="00A14C79"/>
    <w:rsid w:val="00A14D21"/>
    <w:rsid w:val="00A14FEB"/>
    <w:rsid w:val="00A15262"/>
    <w:rsid w:val="00A152B3"/>
    <w:rsid w:val="00A152CF"/>
    <w:rsid w:val="00A1560A"/>
    <w:rsid w:val="00A15621"/>
    <w:rsid w:val="00A15744"/>
    <w:rsid w:val="00A1581A"/>
    <w:rsid w:val="00A158F5"/>
    <w:rsid w:val="00A15A74"/>
    <w:rsid w:val="00A15AF1"/>
    <w:rsid w:val="00A15B26"/>
    <w:rsid w:val="00A15CFE"/>
    <w:rsid w:val="00A15E09"/>
    <w:rsid w:val="00A15EA7"/>
    <w:rsid w:val="00A1629F"/>
    <w:rsid w:val="00A1631D"/>
    <w:rsid w:val="00A163A0"/>
    <w:rsid w:val="00A164D7"/>
    <w:rsid w:val="00A16531"/>
    <w:rsid w:val="00A165DD"/>
    <w:rsid w:val="00A1682B"/>
    <w:rsid w:val="00A16993"/>
    <w:rsid w:val="00A16A9F"/>
    <w:rsid w:val="00A16D34"/>
    <w:rsid w:val="00A16D53"/>
    <w:rsid w:val="00A1719A"/>
    <w:rsid w:val="00A173FF"/>
    <w:rsid w:val="00A175D5"/>
    <w:rsid w:val="00A177C4"/>
    <w:rsid w:val="00A178AD"/>
    <w:rsid w:val="00A17993"/>
    <w:rsid w:val="00A17AE0"/>
    <w:rsid w:val="00A17D14"/>
    <w:rsid w:val="00A17D4A"/>
    <w:rsid w:val="00A17D4F"/>
    <w:rsid w:val="00A17F3B"/>
    <w:rsid w:val="00A2021A"/>
    <w:rsid w:val="00A204DB"/>
    <w:rsid w:val="00A204EF"/>
    <w:rsid w:val="00A2051C"/>
    <w:rsid w:val="00A2068A"/>
    <w:rsid w:val="00A2080E"/>
    <w:rsid w:val="00A2097E"/>
    <w:rsid w:val="00A20BB1"/>
    <w:rsid w:val="00A20C08"/>
    <w:rsid w:val="00A2129C"/>
    <w:rsid w:val="00A215BF"/>
    <w:rsid w:val="00A21605"/>
    <w:rsid w:val="00A2163B"/>
    <w:rsid w:val="00A2187C"/>
    <w:rsid w:val="00A218D9"/>
    <w:rsid w:val="00A21948"/>
    <w:rsid w:val="00A21949"/>
    <w:rsid w:val="00A2195B"/>
    <w:rsid w:val="00A219D0"/>
    <w:rsid w:val="00A219E1"/>
    <w:rsid w:val="00A21BAC"/>
    <w:rsid w:val="00A21D3F"/>
    <w:rsid w:val="00A21DCB"/>
    <w:rsid w:val="00A2204A"/>
    <w:rsid w:val="00A22116"/>
    <w:rsid w:val="00A222CA"/>
    <w:rsid w:val="00A225EF"/>
    <w:rsid w:val="00A22700"/>
    <w:rsid w:val="00A22B03"/>
    <w:rsid w:val="00A22B91"/>
    <w:rsid w:val="00A22C98"/>
    <w:rsid w:val="00A22D56"/>
    <w:rsid w:val="00A22F79"/>
    <w:rsid w:val="00A22FBD"/>
    <w:rsid w:val="00A23047"/>
    <w:rsid w:val="00A23116"/>
    <w:rsid w:val="00A23233"/>
    <w:rsid w:val="00A2325B"/>
    <w:rsid w:val="00A23377"/>
    <w:rsid w:val="00A233CD"/>
    <w:rsid w:val="00A234DD"/>
    <w:rsid w:val="00A23521"/>
    <w:rsid w:val="00A23529"/>
    <w:rsid w:val="00A235CD"/>
    <w:rsid w:val="00A23788"/>
    <w:rsid w:val="00A237A4"/>
    <w:rsid w:val="00A237AC"/>
    <w:rsid w:val="00A238BB"/>
    <w:rsid w:val="00A23993"/>
    <w:rsid w:val="00A23A36"/>
    <w:rsid w:val="00A23B50"/>
    <w:rsid w:val="00A23C4F"/>
    <w:rsid w:val="00A23E24"/>
    <w:rsid w:val="00A23EC0"/>
    <w:rsid w:val="00A23EE4"/>
    <w:rsid w:val="00A241CB"/>
    <w:rsid w:val="00A245A3"/>
    <w:rsid w:val="00A245DA"/>
    <w:rsid w:val="00A24777"/>
    <w:rsid w:val="00A249C5"/>
    <w:rsid w:val="00A249E4"/>
    <w:rsid w:val="00A24ACB"/>
    <w:rsid w:val="00A24AE6"/>
    <w:rsid w:val="00A24B6C"/>
    <w:rsid w:val="00A24E19"/>
    <w:rsid w:val="00A24EE4"/>
    <w:rsid w:val="00A251B5"/>
    <w:rsid w:val="00A2539B"/>
    <w:rsid w:val="00A253F5"/>
    <w:rsid w:val="00A253FD"/>
    <w:rsid w:val="00A2546E"/>
    <w:rsid w:val="00A25716"/>
    <w:rsid w:val="00A25A3D"/>
    <w:rsid w:val="00A25AE0"/>
    <w:rsid w:val="00A25B76"/>
    <w:rsid w:val="00A25C3B"/>
    <w:rsid w:val="00A25C85"/>
    <w:rsid w:val="00A25E0B"/>
    <w:rsid w:val="00A260F8"/>
    <w:rsid w:val="00A26192"/>
    <w:rsid w:val="00A262DC"/>
    <w:rsid w:val="00A2646C"/>
    <w:rsid w:val="00A2657F"/>
    <w:rsid w:val="00A2662E"/>
    <w:rsid w:val="00A268FD"/>
    <w:rsid w:val="00A2693C"/>
    <w:rsid w:val="00A26C91"/>
    <w:rsid w:val="00A26E8E"/>
    <w:rsid w:val="00A26F11"/>
    <w:rsid w:val="00A2701C"/>
    <w:rsid w:val="00A270B0"/>
    <w:rsid w:val="00A2718F"/>
    <w:rsid w:val="00A275A0"/>
    <w:rsid w:val="00A275BB"/>
    <w:rsid w:val="00A27637"/>
    <w:rsid w:val="00A2774C"/>
    <w:rsid w:val="00A27AD7"/>
    <w:rsid w:val="00A27C4F"/>
    <w:rsid w:val="00A27CEC"/>
    <w:rsid w:val="00A27CF7"/>
    <w:rsid w:val="00A27DFB"/>
    <w:rsid w:val="00A27F62"/>
    <w:rsid w:val="00A27FCC"/>
    <w:rsid w:val="00A300BC"/>
    <w:rsid w:val="00A300C4"/>
    <w:rsid w:val="00A30189"/>
    <w:rsid w:val="00A303E5"/>
    <w:rsid w:val="00A30529"/>
    <w:rsid w:val="00A305BB"/>
    <w:rsid w:val="00A30796"/>
    <w:rsid w:val="00A30874"/>
    <w:rsid w:val="00A30BA3"/>
    <w:rsid w:val="00A30CF8"/>
    <w:rsid w:val="00A30E8A"/>
    <w:rsid w:val="00A30F1B"/>
    <w:rsid w:val="00A30F77"/>
    <w:rsid w:val="00A310E1"/>
    <w:rsid w:val="00A31964"/>
    <w:rsid w:val="00A31A4D"/>
    <w:rsid w:val="00A31A53"/>
    <w:rsid w:val="00A31AFA"/>
    <w:rsid w:val="00A31B14"/>
    <w:rsid w:val="00A31B40"/>
    <w:rsid w:val="00A31C7C"/>
    <w:rsid w:val="00A31F30"/>
    <w:rsid w:val="00A3202F"/>
    <w:rsid w:val="00A3203B"/>
    <w:rsid w:val="00A3252B"/>
    <w:rsid w:val="00A328A8"/>
    <w:rsid w:val="00A32927"/>
    <w:rsid w:val="00A32A2C"/>
    <w:rsid w:val="00A32CA1"/>
    <w:rsid w:val="00A32E6E"/>
    <w:rsid w:val="00A32F3A"/>
    <w:rsid w:val="00A33053"/>
    <w:rsid w:val="00A33097"/>
    <w:rsid w:val="00A33164"/>
    <w:rsid w:val="00A3353D"/>
    <w:rsid w:val="00A335AC"/>
    <w:rsid w:val="00A335FE"/>
    <w:rsid w:val="00A33652"/>
    <w:rsid w:val="00A33898"/>
    <w:rsid w:val="00A3389E"/>
    <w:rsid w:val="00A338BE"/>
    <w:rsid w:val="00A339FA"/>
    <w:rsid w:val="00A33A4B"/>
    <w:rsid w:val="00A33B44"/>
    <w:rsid w:val="00A33B93"/>
    <w:rsid w:val="00A33CC7"/>
    <w:rsid w:val="00A33D26"/>
    <w:rsid w:val="00A33F4E"/>
    <w:rsid w:val="00A34064"/>
    <w:rsid w:val="00A340B7"/>
    <w:rsid w:val="00A341FB"/>
    <w:rsid w:val="00A34302"/>
    <w:rsid w:val="00A343AC"/>
    <w:rsid w:val="00A343B1"/>
    <w:rsid w:val="00A344C2"/>
    <w:rsid w:val="00A34594"/>
    <w:rsid w:val="00A3465F"/>
    <w:rsid w:val="00A34728"/>
    <w:rsid w:val="00A34737"/>
    <w:rsid w:val="00A3479F"/>
    <w:rsid w:val="00A34828"/>
    <w:rsid w:val="00A348C5"/>
    <w:rsid w:val="00A34A1E"/>
    <w:rsid w:val="00A34AF0"/>
    <w:rsid w:val="00A34B83"/>
    <w:rsid w:val="00A34CE0"/>
    <w:rsid w:val="00A34E19"/>
    <w:rsid w:val="00A34FA6"/>
    <w:rsid w:val="00A3500C"/>
    <w:rsid w:val="00A350EF"/>
    <w:rsid w:val="00A35478"/>
    <w:rsid w:val="00A35568"/>
    <w:rsid w:val="00A356EC"/>
    <w:rsid w:val="00A356FE"/>
    <w:rsid w:val="00A356FF"/>
    <w:rsid w:val="00A35A7D"/>
    <w:rsid w:val="00A35CBB"/>
    <w:rsid w:val="00A35CD5"/>
    <w:rsid w:val="00A35F6D"/>
    <w:rsid w:val="00A36089"/>
    <w:rsid w:val="00A3638D"/>
    <w:rsid w:val="00A3671E"/>
    <w:rsid w:val="00A36847"/>
    <w:rsid w:val="00A36892"/>
    <w:rsid w:val="00A36907"/>
    <w:rsid w:val="00A36948"/>
    <w:rsid w:val="00A36A87"/>
    <w:rsid w:val="00A36B08"/>
    <w:rsid w:val="00A36BB5"/>
    <w:rsid w:val="00A36C27"/>
    <w:rsid w:val="00A36CB1"/>
    <w:rsid w:val="00A36DA3"/>
    <w:rsid w:val="00A36E07"/>
    <w:rsid w:val="00A36E23"/>
    <w:rsid w:val="00A37040"/>
    <w:rsid w:val="00A37108"/>
    <w:rsid w:val="00A37167"/>
    <w:rsid w:val="00A3754D"/>
    <w:rsid w:val="00A3772F"/>
    <w:rsid w:val="00A37757"/>
    <w:rsid w:val="00A3787A"/>
    <w:rsid w:val="00A37E0D"/>
    <w:rsid w:val="00A37E29"/>
    <w:rsid w:val="00A37EF0"/>
    <w:rsid w:val="00A37FBC"/>
    <w:rsid w:val="00A37FDA"/>
    <w:rsid w:val="00A400EF"/>
    <w:rsid w:val="00A40293"/>
    <w:rsid w:val="00A402EE"/>
    <w:rsid w:val="00A40336"/>
    <w:rsid w:val="00A40511"/>
    <w:rsid w:val="00A4071E"/>
    <w:rsid w:val="00A40983"/>
    <w:rsid w:val="00A4098F"/>
    <w:rsid w:val="00A40A51"/>
    <w:rsid w:val="00A40AE8"/>
    <w:rsid w:val="00A40BA4"/>
    <w:rsid w:val="00A40C29"/>
    <w:rsid w:val="00A40F32"/>
    <w:rsid w:val="00A41484"/>
    <w:rsid w:val="00A414AC"/>
    <w:rsid w:val="00A416C9"/>
    <w:rsid w:val="00A416F1"/>
    <w:rsid w:val="00A42256"/>
    <w:rsid w:val="00A423B9"/>
    <w:rsid w:val="00A42487"/>
    <w:rsid w:val="00A4250E"/>
    <w:rsid w:val="00A4259A"/>
    <w:rsid w:val="00A426D9"/>
    <w:rsid w:val="00A42737"/>
    <w:rsid w:val="00A42803"/>
    <w:rsid w:val="00A428CF"/>
    <w:rsid w:val="00A42B71"/>
    <w:rsid w:val="00A42D34"/>
    <w:rsid w:val="00A42D3E"/>
    <w:rsid w:val="00A430D1"/>
    <w:rsid w:val="00A43138"/>
    <w:rsid w:val="00A432F1"/>
    <w:rsid w:val="00A433CC"/>
    <w:rsid w:val="00A4363F"/>
    <w:rsid w:val="00A437FE"/>
    <w:rsid w:val="00A4383B"/>
    <w:rsid w:val="00A43962"/>
    <w:rsid w:val="00A439CA"/>
    <w:rsid w:val="00A43A39"/>
    <w:rsid w:val="00A43BEC"/>
    <w:rsid w:val="00A43D63"/>
    <w:rsid w:val="00A43D6C"/>
    <w:rsid w:val="00A43DC8"/>
    <w:rsid w:val="00A43E5A"/>
    <w:rsid w:val="00A43E79"/>
    <w:rsid w:val="00A43EF5"/>
    <w:rsid w:val="00A43F4E"/>
    <w:rsid w:val="00A43F69"/>
    <w:rsid w:val="00A44112"/>
    <w:rsid w:val="00A441B5"/>
    <w:rsid w:val="00A442C2"/>
    <w:rsid w:val="00A444E8"/>
    <w:rsid w:val="00A44574"/>
    <w:rsid w:val="00A4462C"/>
    <w:rsid w:val="00A44641"/>
    <w:rsid w:val="00A447B7"/>
    <w:rsid w:val="00A447E4"/>
    <w:rsid w:val="00A44928"/>
    <w:rsid w:val="00A449B1"/>
    <w:rsid w:val="00A44ABE"/>
    <w:rsid w:val="00A44C1A"/>
    <w:rsid w:val="00A44CC0"/>
    <w:rsid w:val="00A44E40"/>
    <w:rsid w:val="00A44FE6"/>
    <w:rsid w:val="00A44FFC"/>
    <w:rsid w:val="00A45073"/>
    <w:rsid w:val="00A45234"/>
    <w:rsid w:val="00A45300"/>
    <w:rsid w:val="00A4551D"/>
    <w:rsid w:val="00A4560A"/>
    <w:rsid w:val="00A4569F"/>
    <w:rsid w:val="00A45736"/>
    <w:rsid w:val="00A45759"/>
    <w:rsid w:val="00A4577D"/>
    <w:rsid w:val="00A45B30"/>
    <w:rsid w:val="00A45D21"/>
    <w:rsid w:val="00A45F07"/>
    <w:rsid w:val="00A45F42"/>
    <w:rsid w:val="00A45F70"/>
    <w:rsid w:val="00A460DD"/>
    <w:rsid w:val="00A4621C"/>
    <w:rsid w:val="00A46243"/>
    <w:rsid w:val="00A4637F"/>
    <w:rsid w:val="00A46678"/>
    <w:rsid w:val="00A46790"/>
    <w:rsid w:val="00A46876"/>
    <w:rsid w:val="00A46943"/>
    <w:rsid w:val="00A46A04"/>
    <w:rsid w:val="00A46AB4"/>
    <w:rsid w:val="00A46BE7"/>
    <w:rsid w:val="00A46CB4"/>
    <w:rsid w:val="00A46D67"/>
    <w:rsid w:val="00A46D97"/>
    <w:rsid w:val="00A46EFF"/>
    <w:rsid w:val="00A46FA2"/>
    <w:rsid w:val="00A4711F"/>
    <w:rsid w:val="00A471AF"/>
    <w:rsid w:val="00A4758D"/>
    <w:rsid w:val="00A47732"/>
    <w:rsid w:val="00A4786D"/>
    <w:rsid w:val="00A478ED"/>
    <w:rsid w:val="00A47A07"/>
    <w:rsid w:val="00A47A25"/>
    <w:rsid w:val="00A47A94"/>
    <w:rsid w:val="00A47AC7"/>
    <w:rsid w:val="00A47C8A"/>
    <w:rsid w:val="00A47CF5"/>
    <w:rsid w:val="00A47EF3"/>
    <w:rsid w:val="00A5046A"/>
    <w:rsid w:val="00A50572"/>
    <w:rsid w:val="00A505AE"/>
    <w:rsid w:val="00A506B7"/>
    <w:rsid w:val="00A506E7"/>
    <w:rsid w:val="00A50937"/>
    <w:rsid w:val="00A50AA9"/>
    <w:rsid w:val="00A50B9E"/>
    <w:rsid w:val="00A50C9E"/>
    <w:rsid w:val="00A50D2E"/>
    <w:rsid w:val="00A50FA0"/>
    <w:rsid w:val="00A510B9"/>
    <w:rsid w:val="00A51252"/>
    <w:rsid w:val="00A5139E"/>
    <w:rsid w:val="00A515A9"/>
    <w:rsid w:val="00A51603"/>
    <w:rsid w:val="00A51768"/>
    <w:rsid w:val="00A517DC"/>
    <w:rsid w:val="00A51851"/>
    <w:rsid w:val="00A5197F"/>
    <w:rsid w:val="00A51B43"/>
    <w:rsid w:val="00A51B78"/>
    <w:rsid w:val="00A51BD3"/>
    <w:rsid w:val="00A51D45"/>
    <w:rsid w:val="00A5251B"/>
    <w:rsid w:val="00A5255D"/>
    <w:rsid w:val="00A52794"/>
    <w:rsid w:val="00A52AA9"/>
    <w:rsid w:val="00A52C2C"/>
    <w:rsid w:val="00A52C98"/>
    <w:rsid w:val="00A52DD4"/>
    <w:rsid w:val="00A52E10"/>
    <w:rsid w:val="00A52E2D"/>
    <w:rsid w:val="00A52E38"/>
    <w:rsid w:val="00A52EF7"/>
    <w:rsid w:val="00A52FA3"/>
    <w:rsid w:val="00A5301E"/>
    <w:rsid w:val="00A5322D"/>
    <w:rsid w:val="00A53306"/>
    <w:rsid w:val="00A53321"/>
    <w:rsid w:val="00A5365A"/>
    <w:rsid w:val="00A536EB"/>
    <w:rsid w:val="00A5394C"/>
    <w:rsid w:val="00A53A0F"/>
    <w:rsid w:val="00A53A4F"/>
    <w:rsid w:val="00A53D69"/>
    <w:rsid w:val="00A53ED6"/>
    <w:rsid w:val="00A53FC0"/>
    <w:rsid w:val="00A54208"/>
    <w:rsid w:val="00A542C5"/>
    <w:rsid w:val="00A543F4"/>
    <w:rsid w:val="00A547A4"/>
    <w:rsid w:val="00A54A67"/>
    <w:rsid w:val="00A54BD7"/>
    <w:rsid w:val="00A54BF0"/>
    <w:rsid w:val="00A54C02"/>
    <w:rsid w:val="00A54C29"/>
    <w:rsid w:val="00A54F41"/>
    <w:rsid w:val="00A54F71"/>
    <w:rsid w:val="00A55054"/>
    <w:rsid w:val="00A55123"/>
    <w:rsid w:val="00A552F7"/>
    <w:rsid w:val="00A55350"/>
    <w:rsid w:val="00A5595B"/>
    <w:rsid w:val="00A55A72"/>
    <w:rsid w:val="00A55A7F"/>
    <w:rsid w:val="00A55B54"/>
    <w:rsid w:val="00A55CBB"/>
    <w:rsid w:val="00A55F43"/>
    <w:rsid w:val="00A56123"/>
    <w:rsid w:val="00A562D9"/>
    <w:rsid w:val="00A563C8"/>
    <w:rsid w:val="00A5641B"/>
    <w:rsid w:val="00A56546"/>
    <w:rsid w:val="00A56639"/>
    <w:rsid w:val="00A56654"/>
    <w:rsid w:val="00A56887"/>
    <w:rsid w:val="00A5697D"/>
    <w:rsid w:val="00A56B3F"/>
    <w:rsid w:val="00A56B85"/>
    <w:rsid w:val="00A56CE4"/>
    <w:rsid w:val="00A56E5E"/>
    <w:rsid w:val="00A56FE7"/>
    <w:rsid w:val="00A56FEB"/>
    <w:rsid w:val="00A57099"/>
    <w:rsid w:val="00A571D4"/>
    <w:rsid w:val="00A572DB"/>
    <w:rsid w:val="00A57461"/>
    <w:rsid w:val="00A57499"/>
    <w:rsid w:val="00A575CE"/>
    <w:rsid w:val="00A57623"/>
    <w:rsid w:val="00A577CC"/>
    <w:rsid w:val="00A5784F"/>
    <w:rsid w:val="00A57D7A"/>
    <w:rsid w:val="00A57DD4"/>
    <w:rsid w:val="00A57E02"/>
    <w:rsid w:val="00A57FDE"/>
    <w:rsid w:val="00A57FE4"/>
    <w:rsid w:val="00A600F6"/>
    <w:rsid w:val="00A601E0"/>
    <w:rsid w:val="00A6021C"/>
    <w:rsid w:val="00A60255"/>
    <w:rsid w:val="00A60259"/>
    <w:rsid w:val="00A60417"/>
    <w:rsid w:val="00A60644"/>
    <w:rsid w:val="00A608DE"/>
    <w:rsid w:val="00A60AC2"/>
    <w:rsid w:val="00A60B44"/>
    <w:rsid w:val="00A60C38"/>
    <w:rsid w:val="00A60C59"/>
    <w:rsid w:val="00A6108D"/>
    <w:rsid w:val="00A613D9"/>
    <w:rsid w:val="00A61451"/>
    <w:rsid w:val="00A61580"/>
    <w:rsid w:val="00A61612"/>
    <w:rsid w:val="00A6176D"/>
    <w:rsid w:val="00A6187C"/>
    <w:rsid w:val="00A61A32"/>
    <w:rsid w:val="00A61BC7"/>
    <w:rsid w:val="00A61D15"/>
    <w:rsid w:val="00A61DDD"/>
    <w:rsid w:val="00A61E3E"/>
    <w:rsid w:val="00A61FA9"/>
    <w:rsid w:val="00A6203B"/>
    <w:rsid w:val="00A62128"/>
    <w:rsid w:val="00A62169"/>
    <w:rsid w:val="00A621E5"/>
    <w:rsid w:val="00A62253"/>
    <w:rsid w:val="00A62399"/>
    <w:rsid w:val="00A62408"/>
    <w:rsid w:val="00A624F6"/>
    <w:rsid w:val="00A62562"/>
    <w:rsid w:val="00A62786"/>
    <w:rsid w:val="00A62831"/>
    <w:rsid w:val="00A6288C"/>
    <w:rsid w:val="00A62ACF"/>
    <w:rsid w:val="00A62BC5"/>
    <w:rsid w:val="00A62BEF"/>
    <w:rsid w:val="00A62C8C"/>
    <w:rsid w:val="00A62CEB"/>
    <w:rsid w:val="00A62E62"/>
    <w:rsid w:val="00A62E67"/>
    <w:rsid w:val="00A631CE"/>
    <w:rsid w:val="00A632B0"/>
    <w:rsid w:val="00A6348D"/>
    <w:rsid w:val="00A634FB"/>
    <w:rsid w:val="00A63520"/>
    <w:rsid w:val="00A63674"/>
    <w:rsid w:val="00A636E1"/>
    <w:rsid w:val="00A63779"/>
    <w:rsid w:val="00A637E9"/>
    <w:rsid w:val="00A63A6E"/>
    <w:rsid w:val="00A63A84"/>
    <w:rsid w:val="00A63B38"/>
    <w:rsid w:val="00A63B48"/>
    <w:rsid w:val="00A63B49"/>
    <w:rsid w:val="00A63B52"/>
    <w:rsid w:val="00A63BDE"/>
    <w:rsid w:val="00A641FD"/>
    <w:rsid w:val="00A6422D"/>
    <w:rsid w:val="00A642B7"/>
    <w:rsid w:val="00A642BC"/>
    <w:rsid w:val="00A642EF"/>
    <w:rsid w:val="00A643B9"/>
    <w:rsid w:val="00A64494"/>
    <w:rsid w:val="00A64CF3"/>
    <w:rsid w:val="00A64DA4"/>
    <w:rsid w:val="00A64DB8"/>
    <w:rsid w:val="00A64E80"/>
    <w:rsid w:val="00A65253"/>
    <w:rsid w:val="00A656BD"/>
    <w:rsid w:val="00A65709"/>
    <w:rsid w:val="00A657AA"/>
    <w:rsid w:val="00A65CE7"/>
    <w:rsid w:val="00A65D4B"/>
    <w:rsid w:val="00A65E36"/>
    <w:rsid w:val="00A65E81"/>
    <w:rsid w:val="00A65EAA"/>
    <w:rsid w:val="00A660E0"/>
    <w:rsid w:val="00A6612F"/>
    <w:rsid w:val="00A662AF"/>
    <w:rsid w:val="00A66786"/>
    <w:rsid w:val="00A6697F"/>
    <w:rsid w:val="00A669BC"/>
    <w:rsid w:val="00A669F9"/>
    <w:rsid w:val="00A66A35"/>
    <w:rsid w:val="00A66B4D"/>
    <w:rsid w:val="00A66C3C"/>
    <w:rsid w:val="00A66CD0"/>
    <w:rsid w:val="00A66FE6"/>
    <w:rsid w:val="00A6701F"/>
    <w:rsid w:val="00A670F5"/>
    <w:rsid w:val="00A671BC"/>
    <w:rsid w:val="00A67348"/>
    <w:rsid w:val="00A6780E"/>
    <w:rsid w:val="00A679A3"/>
    <w:rsid w:val="00A679CF"/>
    <w:rsid w:val="00A67DF8"/>
    <w:rsid w:val="00A7004B"/>
    <w:rsid w:val="00A704AC"/>
    <w:rsid w:val="00A704F9"/>
    <w:rsid w:val="00A705B8"/>
    <w:rsid w:val="00A706E4"/>
    <w:rsid w:val="00A70818"/>
    <w:rsid w:val="00A70B6D"/>
    <w:rsid w:val="00A70D62"/>
    <w:rsid w:val="00A71075"/>
    <w:rsid w:val="00A71545"/>
    <w:rsid w:val="00A71637"/>
    <w:rsid w:val="00A716BA"/>
    <w:rsid w:val="00A71967"/>
    <w:rsid w:val="00A71977"/>
    <w:rsid w:val="00A71B66"/>
    <w:rsid w:val="00A71BB0"/>
    <w:rsid w:val="00A7205C"/>
    <w:rsid w:val="00A720AD"/>
    <w:rsid w:val="00A7210A"/>
    <w:rsid w:val="00A722D0"/>
    <w:rsid w:val="00A72383"/>
    <w:rsid w:val="00A72534"/>
    <w:rsid w:val="00A725D8"/>
    <w:rsid w:val="00A72C2B"/>
    <w:rsid w:val="00A72C44"/>
    <w:rsid w:val="00A72CFA"/>
    <w:rsid w:val="00A72EA2"/>
    <w:rsid w:val="00A72ED3"/>
    <w:rsid w:val="00A7322E"/>
    <w:rsid w:val="00A732CC"/>
    <w:rsid w:val="00A733CA"/>
    <w:rsid w:val="00A735F0"/>
    <w:rsid w:val="00A7386E"/>
    <w:rsid w:val="00A73960"/>
    <w:rsid w:val="00A73B2A"/>
    <w:rsid w:val="00A73FCE"/>
    <w:rsid w:val="00A74286"/>
    <w:rsid w:val="00A745C5"/>
    <w:rsid w:val="00A7497C"/>
    <w:rsid w:val="00A74A8E"/>
    <w:rsid w:val="00A74AB9"/>
    <w:rsid w:val="00A74D0C"/>
    <w:rsid w:val="00A74F39"/>
    <w:rsid w:val="00A7503A"/>
    <w:rsid w:val="00A75056"/>
    <w:rsid w:val="00A752EA"/>
    <w:rsid w:val="00A7541C"/>
    <w:rsid w:val="00A75700"/>
    <w:rsid w:val="00A7576B"/>
    <w:rsid w:val="00A75790"/>
    <w:rsid w:val="00A75922"/>
    <w:rsid w:val="00A75BF5"/>
    <w:rsid w:val="00A760D4"/>
    <w:rsid w:val="00A76177"/>
    <w:rsid w:val="00A76231"/>
    <w:rsid w:val="00A76320"/>
    <w:rsid w:val="00A76321"/>
    <w:rsid w:val="00A76583"/>
    <w:rsid w:val="00A765B0"/>
    <w:rsid w:val="00A767BF"/>
    <w:rsid w:val="00A7685E"/>
    <w:rsid w:val="00A76A5F"/>
    <w:rsid w:val="00A76CA4"/>
    <w:rsid w:val="00A770BE"/>
    <w:rsid w:val="00A771C3"/>
    <w:rsid w:val="00A772EE"/>
    <w:rsid w:val="00A77367"/>
    <w:rsid w:val="00A7743F"/>
    <w:rsid w:val="00A77663"/>
    <w:rsid w:val="00A77697"/>
    <w:rsid w:val="00A77703"/>
    <w:rsid w:val="00A77776"/>
    <w:rsid w:val="00A77848"/>
    <w:rsid w:val="00A779F5"/>
    <w:rsid w:val="00A77A76"/>
    <w:rsid w:val="00A77AC9"/>
    <w:rsid w:val="00A77EB7"/>
    <w:rsid w:val="00A77FDF"/>
    <w:rsid w:val="00A80006"/>
    <w:rsid w:val="00A80165"/>
    <w:rsid w:val="00A8017F"/>
    <w:rsid w:val="00A801E1"/>
    <w:rsid w:val="00A8023D"/>
    <w:rsid w:val="00A8029E"/>
    <w:rsid w:val="00A8034F"/>
    <w:rsid w:val="00A8040A"/>
    <w:rsid w:val="00A80456"/>
    <w:rsid w:val="00A80475"/>
    <w:rsid w:val="00A804A7"/>
    <w:rsid w:val="00A805FD"/>
    <w:rsid w:val="00A808F7"/>
    <w:rsid w:val="00A809F7"/>
    <w:rsid w:val="00A80B44"/>
    <w:rsid w:val="00A80F79"/>
    <w:rsid w:val="00A80FAC"/>
    <w:rsid w:val="00A81112"/>
    <w:rsid w:val="00A81142"/>
    <w:rsid w:val="00A81640"/>
    <w:rsid w:val="00A816B2"/>
    <w:rsid w:val="00A816FD"/>
    <w:rsid w:val="00A81862"/>
    <w:rsid w:val="00A818C8"/>
    <w:rsid w:val="00A8192A"/>
    <w:rsid w:val="00A819CC"/>
    <w:rsid w:val="00A81A1D"/>
    <w:rsid w:val="00A81A3B"/>
    <w:rsid w:val="00A81C55"/>
    <w:rsid w:val="00A81C59"/>
    <w:rsid w:val="00A81C7A"/>
    <w:rsid w:val="00A81C9D"/>
    <w:rsid w:val="00A81D85"/>
    <w:rsid w:val="00A81DA4"/>
    <w:rsid w:val="00A82331"/>
    <w:rsid w:val="00A82381"/>
    <w:rsid w:val="00A82623"/>
    <w:rsid w:val="00A82698"/>
    <w:rsid w:val="00A826B0"/>
    <w:rsid w:val="00A8273A"/>
    <w:rsid w:val="00A82749"/>
    <w:rsid w:val="00A82883"/>
    <w:rsid w:val="00A82948"/>
    <w:rsid w:val="00A82A28"/>
    <w:rsid w:val="00A82A2D"/>
    <w:rsid w:val="00A82C63"/>
    <w:rsid w:val="00A82CA1"/>
    <w:rsid w:val="00A82CB7"/>
    <w:rsid w:val="00A82D58"/>
    <w:rsid w:val="00A83171"/>
    <w:rsid w:val="00A8354A"/>
    <w:rsid w:val="00A83688"/>
    <w:rsid w:val="00A8375A"/>
    <w:rsid w:val="00A8375E"/>
    <w:rsid w:val="00A837A1"/>
    <w:rsid w:val="00A83C75"/>
    <w:rsid w:val="00A83CA3"/>
    <w:rsid w:val="00A83CDD"/>
    <w:rsid w:val="00A83CE3"/>
    <w:rsid w:val="00A83D2B"/>
    <w:rsid w:val="00A83DD8"/>
    <w:rsid w:val="00A83E65"/>
    <w:rsid w:val="00A8402F"/>
    <w:rsid w:val="00A840EF"/>
    <w:rsid w:val="00A8415E"/>
    <w:rsid w:val="00A8426B"/>
    <w:rsid w:val="00A8429B"/>
    <w:rsid w:val="00A842F3"/>
    <w:rsid w:val="00A84798"/>
    <w:rsid w:val="00A849EF"/>
    <w:rsid w:val="00A84D31"/>
    <w:rsid w:val="00A84DC1"/>
    <w:rsid w:val="00A84E79"/>
    <w:rsid w:val="00A8509C"/>
    <w:rsid w:val="00A85506"/>
    <w:rsid w:val="00A855E1"/>
    <w:rsid w:val="00A856AC"/>
    <w:rsid w:val="00A85C32"/>
    <w:rsid w:val="00A85E75"/>
    <w:rsid w:val="00A864F5"/>
    <w:rsid w:val="00A8665F"/>
    <w:rsid w:val="00A86667"/>
    <w:rsid w:val="00A86677"/>
    <w:rsid w:val="00A86682"/>
    <w:rsid w:val="00A86690"/>
    <w:rsid w:val="00A86AF6"/>
    <w:rsid w:val="00A86CE4"/>
    <w:rsid w:val="00A86F8B"/>
    <w:rsid w:val="00A870D2"/>
    <w:rsid w:val="00A87250"/>
    <w:rsid w:val="00A8747D"/>
    <w:rsid w:val="00A8765E"/>
    <w:rsid w:val="00A876AA"/>
    <w:rsid w:val="00A87988"/>
    <w:rsid w:val="00A87E64"/>
    <w:rsid w:val="00A9005B"/>
    <w:rsid w:val="00A9029F"/>
    <w:rsid w:val="00A90740"/>
    <w:rsid w:val="00A90779"/>
    <w:rsid w:val="00A90860"/>
    <w:rsid w:val="00A90988"/>
    <w:rsid w:val="00A909F7"/>
    <w:rsid w:val="00A90B5A"/>
    <w:rsid w:val="00A90C45"/>
    <w:rsid w:val="00A90CB9"/>
    <w:rsid w:val="00A90D0D"/>
    <w:rsid w:val="00A90D11"/>
    <w:rsid w:val="00A90D40"/>
    <w:rsid w:val="00A90DAF"/>
    <w:rsid w:val="00A90DCA"/>
    <w:rsid w:val="00A90E3E"/>
    <w:rsid w:val="00A90EDD"/>
    <w:rsid w:val="00A91012"/>
    <w:rsid w:val="00A9104E"/>
    <w:rsid w:val="00A91143"/>
    <w:rsid w:val="00A911A0"/>
    <w:rsid w:val="00A911B6"/>
    <w:rsid w:val="00A9121B"/>
    <w:rsid w:val="00A913C3"/>
    <w:rsid w:val="00A9157F"/>
    <w:rsid w:val="00A916B6"/>
    <w:rsid w:val="00A91731"/>
    <w:rsid w:val="00A9173B"/>
    <w:rsid w:val="00A91765"/>
    <w:rsid w:val="00A9185D"/>
    <w:rsid w:val="00A919E4"/>
    <w:rsid w:val="00A91B99"/>
    <w:rsid w:val="00A91BAF"/>
    <w:rsid w:val="00A91C02"/>
    <w:rsid w:val="00A91C8F"/>
    <w:rsid w:val="00A91D15"/>
    <w:rsid w:val="00A91EAB"/>
    <w:rsid w:val="00A920C6"/>
    <w:rsid w:val="00A92431"/>
    <w:rsid w:val="00A9243B"/>
    <w:rsid w:val="00A9284D"/>
    <w:rsid w:val="00A92860"/>
    <w:rsid w:val="00A92903"/>
    <w:rsid w:val="00A9299E"/>
    <w:rsid w:val="00A92D21"/>
    <w:rsid w:val="00A92FD9"/>
    <w:rsid w:val="00A930EC"/>
    <w:rsid w:val="00A93172"/>
    <w:rsid w:val="00A931B4"/>
    <w:rsid w:val="00A9323E"/>
    <w:rsid w:val="00A93353"/>
    <w:rsid w:val="00A93721"/>
    <w:rsid w:val="00A938C5"/>
    <w:rsid w:val="00A93A29"/>
    <w:rsid w:val="00A93AFF"/>
    <w:rsid w:val="00A93D96"/>
    <w:rsid w:val="00A93DAA"/>
    <w:rsid w:val="00A93EBD"/>
    <w:rsid w:val="00A9404F"/>
    <w:rsid w:val="00A9409F"/>
    <w:rsid w:val="00A94285"/>
    <w:rsid w:val="00A9434E"/>
    <w:rsid w:val="00A9447D"/>
    <w:rsid w:val="00A94717"/>
    <w:rsid w:val="00A947BF"/>
    <w:rsid w:val="00A94896"/>
    <w:rsid w:val="00A949DE"/>
    <w:rsid w:val="00A949F1"/>
    <w:rsid w:val="00A94C03"/>
    <w:rsid w:val="00A94CB1"/>
    <w:rsid w:val="00A94DF8"/>
    <w:rsid w:val="00A94E13"/>
    <w:rsid w:val="00A94F05"/>
    <w:rsid w:val="00A94F6A"/>
    <w:rsid w:val="00A9561E"/>
    <w:rsid w:val="00A9567D"/>
    <w:rsid w:val="00A95691"/>
    <w:rsid w:val="00A95760"/>
    <w:rsid w:val="00A95B3B"/>
    <w:rsid w:val="00A95B59"/>
    <w:rsid w:val="00A95C8B"/>
    <w:rsid w:val="00A95FB9"/>
    <w:rsid w:val="00A960CD"/>
    <w:rsid w:val="00A961BE"/>
    <w:rsid w:val="00A962E7"/>
    <w:rsid w:val="00A96414"/>
    <w:rsid w:val="00A96613"/>
    <w:rsid w:val="00A969CA"/>
    <w:rsid w:val="00A96B8D"/>
    <w:rsid w:val="00A96C1D"/>
    <w:rsid w:val="00A96C1F"/>
    <w:rsid w:val="00A96E54"/>
    <w:rsid w:val="00A97075"/>
    <w:rsid w:val="00A97136"/>
    <w:rsid w:val="00A9732B"/>
    <w:rsid w:val="00A973F2"/>
    <w:rsid w:val="00A9747A"/>
    <w:rsid w:val="00A975DA"/>
    <w:rsid w:val="00A975F0"/>
    <w:rsid w:val="00A9764C"/>
    <w:rsid w:val="00A9773D"/>
    <w:rsid w:val="00A977DE"/>
    <w:rsid w:val="00A978BC"/>
    <w:rsid w:val="00A979FF"/>
    <w:rsid w:val="00A97CE7"/>
    <w:rsid w:val="00A97D17"/>
    <w:rsid w:val="00A97D46"/>
    <w:rsid w:val="00AA00C5"/>
    <w:rsid w:val="00AA0143"/>
    <w:rsid w:val="00AA025C"/>
    <w:rsid w:val="00AA05C0"/>
    <w:rsid w:val="00AA0A22"/>
    <w:rsid w:val="00AA0BCB"/>
    <w:rsid w:val="00AA0C89"/>
    <w:rsid w:val="00AA0CD7"/>
    <w:rsid w:val="00AA0DBB"/>
    <w:rsid w:val="00AA0EB4"/>
    <w:rsid w:val="00AA0ED4"/>
    <w:rsid w:val="00AA0F35"/>
    <w:rsid w:val="00AA1165"/>
    <w:rsid w:val="00AA124F"/>
    <w:rsid w:val="00AA14C0"/>
    <w:rsid w:val="00AA150D"/>
    <w:rsid w:val="00AA1537"/>
    <w:rsid w:val="00AA193E"/>
    <w:rsid w:val="00AA1A84"/>
    <w:rsid w:val="00AA1BCB"/>
    <w:rsid w:val="00AA1F04"/>
    <w:rsid w:val="00AA1F38"/>
    <w:rsid w:val="00AA1F93"/>
    <w:rsid w:val="00AA20F7"/>
    <w:rsid w:val="00AA2289"/>
    <w:rsid w:val="00AA2359"/>
    <w:rsid w:val="00AA2419"/>
    <w:rsid w:val="00AA2480"/>
    <w:rsid w:val="00AA26F5"/>
    <w:rsid w:val="00AA2811"/>
    <w:rsid w:val="00AA2876"/>
    <w:rsid w:val="00AA2889"/>
    <w:rsid w:val="00AA2998"/>
    <w:rsid w:val="00AA2B34"/>
    <w:rsid w:val="00AA2C81"/>
    <w:rsid w:val="00AA2D32"/>
    <w:rsid w:val="00AA2F28"/>
    <w:rsid w:val="00AA2F52"/>
    <w:rsid w:val="00AA2F74"/>
    <w:rsid w:val="00AA3613"/>
    <w:rsid w:val="00AA36A7"/>
    <w:rsid w:val="00AA37B9"/>
    <w:rsid w:val="00AA382E"/>
    <w:rsid w:val="00AA3911"/>
    <w:rsid w:val="00AA3932"/>
    <w:rsid w:val="00AA3955"/>
    <w:rsid w:val="00AA3C0E"/>
    <w:rsid w:val="00AA4413"/>
    <w:rsid w:val="00AA44A4"/>
    <w:rsid w:val="00AA46FC"/>
    <w:rsid w:val="00AA4823"/>
    <w:rsid w:val="00AA4A17"/>
    <w:rsid w:val="00AA4E25"/>
    <w:rsid w:val="00AA4F2D"/>
    <w:rsid w:val="00AA4F31"/>
    <w:rsid w:val="00AA4FB7"/>
    <w:rsid w:val="00AA5059"/>
    <w:rsid w:val="00AA50B0"/>
    <w:rsid w:val="00AA5179"/>
    <w:rsid w:val="00AA51C0"/>
    <w:rsid w:val="00AA51C5"/>
    <w:rsid w:val="00AA5207"/>
    <w:rsid w:val="00AA5426"/>
    <w:rsid w:val="00AA5437"/>
    <w:rsid w:val="00AA5547"/>
    <w:rsid w:val="00AA5720"/>
    <w:rsid w:val="00AA57BE"/>
    <w:rsid w:val="00AA5876"/>
    <w:rsid w:val="00AA5978"/>
    <w:rsid w:val="00AA5E5B"/>
    <w:rsid w:val="00AA5F9D"/>
    <w:rsid w:val="00AA613F"/>
    <w:rsid w:val="00AA63CD"/>
    <w:rsid w:val="00AA6475"/>
    <w:rsid w:val="00AA648D"/>
    <w:rsid w:val="00AA64B1"/>
    <w:rsid w:val="00AA64BA"/>
    <w:rsid w:val="00AA6782"/>
    <w:rsid w:val="00AA67A9"/>
    <w:rsid w:val="00AA68ED"/>
    <w:rsid w:val="00AA69A9"/>
    <w:rsid w:val="00AA6A63"/>
    <w:rsid w:val="00AA6DC5"/>
    <w:rsid w:val="00AA6DC9"/>
    <w:rsid w:val="00AA6E20"/>
    <w:rsid w:val="00AA6E23"/>
    <w:rsid w:val="00AA6E60"/>
    <w:rsid w:val="00AA7046"/>
    <w:rsid w:val="00AA70BC"/>
    <w:rsid w:val="00AA70F1"/>
    <w:rsid w:val="00AA726F"/>
    <w:rsid w:val="00AA76F3"/>
    <w:rsid w:val="00AA7776"/>
    <w:rsid w:val="00AA778E"/>
    <w:rsid w:val="00AA78B0"/>
    <w:rsid w:val="00AA79DC"/>
    <w:rsid w:val="00AA7CD5"/>
    <w:rsid w:val="00AB0257"/>
    <w:rsid w:val="00AB02A3"/>
    <w:rsid w:val="00AB02D9"/>
    <w:rsid w:val="00AB0382"/>
    <w:rsid w:val="00AB03E7"/>
    <w:rsid w:val="00AB0445"/>
    <w:rsid w:val="00AB05A5"/>
    <w:rsid w:val="00AB05CD"/>
    <w:rsid w:val="00AB08B2"/>
    <w:rsid w:val="00AB0D13"/>
    <w:rsid w:val="00AB0F9F"/>
    <w:rsid w:val="00AB0FA0"/>
    <w:rsid w:val="00AB1089"/>
    <w:rsid w:val="00AB124F"/>
    <w:rsid w:val="00AB13E5"/>
    <w:rsid w:val="00AB1431"/>
    <w:rsid w:val="00AB14B0"/>
    <w:rsid w:val="00AB197B"/>
    <w:rsid w:val="00AB1A06"/>
    <w:rsid w:val="00AB1C6E"/>
    <w:rsid w:val="00AB2307"/>
    <w:rsid w:val="00AB236E"/>
    <w:rsid w:val="00AB24C6"/>
    <w:rsid w:val="00AB24EC"/>
    <w:rsid w:val="00AB254A"/>
    <w:rsid w:val="00AB2644"/>
    <w:rsid w:val="00AB26AB"/>
    <w:rsid w:val="00AB27D7"/>
    <w:rsid w:val="00AB27F1"/>
    <w:rsid w:val="00AB2886"/>
    <w:rsid w:val="00AB28AA"/>
    <w:rsid w:val="00AB2A7F"/>
    <w:rsid w:val="00AB2B2F"/>
    <w:rsid w:val="00AB2E4F"/>
    <w:rsid w:val="00AB2EBE"/>
    <w:rsid w:val="00AB3170"/>
    <w:rsid w:val="00AB3302"/>
    <w:rsid w:val="00AB33FC"/>
    <w:rsid w:val="00AB34B1"/>
    <w:rsid w:val="00AB3552"/>
    <w:rsid w:val="00AB360E"/>
    <w:rsid w:val="00AB362E"/>
    <w:rsid w:val="00AB3D0F"/>
    <w:rsid w:val="00AB3E34"/>
    <w:rsid w:val="00AB3F72"/>
    <w:rsid w:val="00AB401B"/>
    <w:rsid w:val="00AB45D8"/>
    <w:rsid w:val="00AB4601"/>
    <w:rsid w:val="00AB4699"/>
    <w:rsid w:val="00AB471C"/>
    <w:rsid w:val="00AB49BE"/>
    <w:rsid w:val="00AB49ED"/>
    <w:rsid w:val="00AB4B6B"/>
    <w:rsid w:val="00AB4B76"/>
    <w:rsid w:val="00AB4E46"/>
    <w:rsid w:val="00AB4F4C"/>
    <w:rsid w:val="00AB542E"/>
    <w:rsid w:val="00AB544A"/>
    <w:rsid w:val="00AB548D"/>
    <w:rsid w:val="00AB5583"/>
    <w:rsid w:val="00AB5745"/>
    <w:rsid w:val="00AB5ACA"/>
    <w:rsid w:val="00AB5BA0"/>
    <w:rsid w:val="00AB5BBA"/>
    <w:rsid w:val="00AB5DA5"/>
    <w:rsid w:val="00AB5F4D"/>
    <w:rsid w:val="00AB5F80"/>
    <w:rsid w:val="00AB6087"/>
    <w:rsid w:val="00AB60BD"/>
    <w:rsid w:val="00AB60C0"/>
    <w:rsid w:val="00AB60EE"/>
    <w:rsid w:val="00AB6166"/>
    <w:rsid w:val="00AB6312"/>
    <w:rsid w:val="00AB63D8"/>
    <w:rsid w:val="00AB6742"/>
    <w:rsid w:val="00AB67FC"/>
    <w:rsid w:val="00AB69F2"/>
    <w:rsid w:val="00AB6A9A"/>
    <w:rsid w:val="00AB6BC9"/>
    <w:rsid w:val="00AB6D51"/>
    <w:rsid w:val="00AB6EC3"/>
    <w:rsid w:val="00AB7215"/>
    <w:rsid w:val="00AB74D5"/>
    <w:rsid w:val="00AB766C"/>
    <w:rsid w:val="00AB777F"/>
    <w:rsid w:val="00AB78F2"/>
    <w:rsid w:val="00AB7923"/>
    <w:rsid w:val="00AB79A1"/>
    <w:rsid w:val="00AB7B5C"/>
    <w:rsid w:val="00AB7CEF"/>
    <w:rsid w:val="00AB7D3F"/>
    <w:rsid w:val="00AC00A6"/>
    <w:rsid w:val="00AC0168"/>
    <w:rsid w:val="00AC0321"/>
    <w:rsid w:val="00AC04A2"/>
    <w:rsid w:val="00AC0776"/>
    <w:rsid w:val="00AC0937"/>
    <w:rsid w:val="00AC09E4"/>
    <w:rsid w:val="00AC09EF"/>
    <w:rsid w:val="00AC0A31"/>
    <w:rsid w:val="00AC0ADC"/>
    <w:rsid w:val="00AC0AEB"/>
    <w:rsid w:val="00AC0B13"/>
    <w:rsid w:val="00AC0BCE"/>
    <w:rsid w:val="00AC0C3E"/>
    <w:rsid w:val="00AC0F23"/>
    <w:rsid w:val="00AC0F96"/>
    <w:rsid w:val="00AC0FB2"/>
    <w:rsid w:val="00AC0FBB"/>
    <w:rsid w:val="00AC0FFD"/>
    <w:rsid w:val="00AC14DC"/>
    <w:rsid w:val="00AC167B"/>
    <w:rsid w:val="00AC1740"/>
    <w:rsid w:val="00AC1859"/>
    <w:rsid w:val="00AC1871"/>
    <w:rsid w:val="00AC18A6"/>
    <w:rsid w:val="00AC197F"/>
    <w:rsid w:val="00AC1AF2"/>
    <w:rsid w:val="00AC1B2D"/>
    <w:rsid w:val="00AC1C3C"/>
    <w:rsid w:val="00AC1D9A"/>
    <w:rsid w:val="00AC1E03"/>
    <w:rsid w:val="00AC1FA3"/>
    <w:rsid w:val="00AC225E"/>
    <w:rsid w:val="00AC22F4"/>
    <w:rsid w:val="00AC23EC"/>
    <w:rsid w:val="00AC24FA"/>
    <w:rsid w:val="00AC25CA"/>
    <w:rsid w:val="00AC267B"/>
    <w:rsid w:val="00AC2842"/>
    <w:rsid w:val="00AC2B1A"/>
    <w:rsid w:val="00AC2D18"/>
    <w:rsid w:val="00AC305F"/>
    <w:rsid w:val="00AC30AE"/>
    <w:rsid w:val="00AC3530"/>
    <w:rsid w:val="00AC3536"/>
    <w:rsid w:val="00AC3691"/>
    <w:rsid w:val="00AC36A3"/>
    <w:rsid w:val="00AC3891"/>
    <w:rsid w:val="00AC38E0"/>
    <w:rsid w:val="00AC3909"/>
    <w:rsid w:val="00AC3B5E"/>
    <w:rsid w:val="00AC3FDD"/>
    <w:rsid w:val="00AC438A"/>
    <w:rsid w:val="00AC43AC"/>
    <w:rsid w:val="00AC4430"/>
    <w:rsid w:val="00AC452E"/>
    <w:rsid w:val="00AC457A"/>
    <w:rsid w:val="00AC4646"/>
    <w:rsid w:val="00AC465E"/>
    <w:rsid w:val="00AC4A1C"/>
    <w:rsid w:val="00AC4FF0"/>
    <w:rsid w:val="00AC529B"/>
    <w:rsid w:val="00AC554B"/>
    <w:rsid w:val="00AC55D8"/>
    <w:rsid w:val="00AC5682"/>
    <w:rsid w:val="00AC5704"/>
    <w:rsid w:val="00AC58B6"/>
    <w:rsid w:val="00AC5997"/>
    <w:rsid w:val="00AC5A85"/>
    <w:rsid w:val="00AC5BEA"/>
    <w:rsid w:val="00AC5DB4"/>
    <w:rsid w:val="00AC5E48"/>
    <w:rsid w:val="00AC5EF5"/>
    <w:rsid w:val="00AC5FF6"/>
    <w:rsid w:val="00AC603C"/>
    <w:rsid w:val="00AC605E"/>
    <w:rsid w:val="00AC6091"/>
    <w:rsid w:val="00AC60FE"/>
    <w:rsid w:val="00AC645E"/>
    <w:rsid w:val="00AC668A"/>
    <w:rsid w:val="00AC66BE"/>
    <w:rsid w:val="00AC6953"/>
    <w:rsid w:val="00AC6A0C"/>
    <w:rsid w:val="00AC6ADA"/>
    <w:rsid w:val="00AC6C19"/>
    <w:rsid w:val="00AC6C33"/>
    <w:rsid w:val="00AC6C60"/>
    <w:rsid w:val="00AC6CE3"/>
    <w:rsid w:val="00AC6D4A"/>
    <w:rsid w:val="00AC6ECA"/>
    <w:rsid w:val="00AC7210"/>
    <w:rsid w:val="00AC76A4"/>
    <w:rsid w:val="00AC781A"/>
    <w:rsid w:val="00AC7829"/>
    <w:rsid w:val="00AC788C"/>
    <w:rsid w:val="00AC7CE1"/>
    <w:rsid w:val="00AC7DA0"/>
    <w:rsid w:val="00AC7E0A"/>
    <w:rsid w:val="00AC7EC1"/>
    <w:rsid w:val="00AC7F60"/>
    <w:rsid w:val="00AD0290"/>
    <w:rsid w:val="00AD036B"/>
    <w:rsid w:val="00AD049E"/>
    <w:rsid w:val="00AD0740"/>
    <w:rsid w:val="00AD0790"/>
    <w:rsid w:val="00AD089D"/>
    <w:rsid w:val="00AD091B"/>
    <w:rsid w:val="00AD0A85"/>
    <w:rsid w:val="00AD0AD0"/>
    <w:rsid w:val="00AD0B1E"/>
    <w:rsid w:val="00AD0C69"/>
    <w:rsid w:val="00AD0D7E"/>
    <w:rsid w:val="00AD0E3F"/>
    <w:rsid w:val="00AD10C9"/>
    <w:rsid w:val="00AD1153"/>
    <w:rsid w:val="00AD11C8"/>
    <w:rsid w:val="00AD11DC"/>
    <w:rsid w:val="00AD1231"/>
    <w:rsid w:val="00AD125B"/>
    <w:rsid w:val="00AD149C"/>
    <w:rsid w:val="00AD16E8"/>
    <w:rsid w:val="00AD17C9"/>
    <w:rsid w:val="00AD19CC"/>
    <w:rsid w:val="00AD1A3A"/>
    <w:rsid w:val="00AD1C6E"/>
    <w:rsid w:val="00AD1CBA"/>
    <w:rsid w:val="00AD1D96"/>
    <w:rsid w:val="00AD1E27"/>
    <w:rsid w:val="00AD1F11"/>
    <w:rsid w:val="00AD2079"/>
    <w:rsid w:val="00AD2708"/>
    <w:rsid w:val="00AD280A"/>
    <w:rsid w:val="00AD2B9F"/>
    <w:rsid w:val="00AD2CA0"/>
    <w:rsid w:val="00AD2D20"/>
    <w:rsid w:val="00AD2DCC"/>
    <w:rsid w:val="00AD2E5F"/>
    <w:rsid w:val="00AD2F9C"/>
    <w:rsid w:val="00AD2FD5"/>
    <w:rsid w:val="00AD313F"/>
    <w:rsid w:val="00AD33DC"/>
    <w:rsid w:val="00AD3535"/>
    <w:rsid w:val="00AD36E7"/>
    <w:rsid w:val="00AD3774"/>
    <w:rsid w:val="00AD39C0"/>
    <w:rsid w:val="00AD3A37"/>
    <w:rsid w:val="00AD3D08"/>
    <w:rsid w:val="00AD3D3B"/>
    <w:rsid w:val="00AD3E70"/>
    <w:rsid w:val="00AD410B"/>
    <w:rsid w:val="00AD41B2"/>
    <w:rsid w:val="00AD43D4"/>
    <w:rsid w:val="00AD49EA"/>
    <w:rsid w:val="00AD4A59"/>
    <w:rsid w:val="00AD4A6E"/>
    <w:rsid w:val="00AD4F75"/>
    <w:rsid w:val="00AD50E4"/>
    <w:rsid w:val="00AD5175"/>
    <w:rsid w:val="00AD5455"/>
    <w:rsid w:val="00AD55BD"/>
    <w:rsid w:val="00AD5A1E"/>
    <w:rsid w:val="00AD5BC0"/>
    <w:rsid w:val="00AD5BE3"/>
    <w:rsid w:val="00AD5CA6"/>
    <w:rsid w:val="00AD5DAA"/>
    <w:rsid w:val="00AD5F38"/>
    <w:rsid w:val="00AD64B7"/>
    <w:rsid w:val="00AD651F"/>
    <w:rsid w:val="00AD6588"/>
    <w:rsid w:val="00AD6667"/>
    <w:rsid w:val="00AD68B1"/>
    <w:rsid w:val="00AD6B84"/>
    <w:rsid w:val="00AD6CFC"/>
    <w:rsid w:val="00AD6E8F"/>
    <w:rsid w:val="00AD73B8"/>
    <w:rsid w:val="00AD7543"/>
    <w:rsid w:val="00AD75F9"/>
    <w:rsid w:val="00AD76EB"/>
    <w:rsid w:val="00AD7973"/>
    <w:rsid w:val="00AD7BC1"/>
    <w:rsid w:val="00AD7E61"/>
    <w:rsid w:val="00AE0578"/>
    <w:rsid w:val="00AE0606"/>
    <w:rsid w:val="00AE0892"/>
    <w:rsid w:val="00AE0903"/>
    <w:rsid w:val="00AE0938"/>
    <w:rsid w:val="00AE0972"/>
    <w:rsid w:val="00AE097B"/>
    <w:rsid w:val="00AE0AB1"/>
    <w:rsid w:val="00AE0B1A"/>
    <w:rsid w:val="00AE0CEA"/>
    <w:rsid w:val="00AE0E6C"/>
    <w:rsid w:val="00AE0EE8"/>
    <w:rsid w:val="00AE1098"/>
    <w:rsid w:val="00AE12AE"/>
    <w:rsid w:val="00AE1376"/>
    <w:rsid w:val="00AE1385"/>
    <w:rsid w:val="00AE172C"/>
    <w:rsid w:val="00AE179A"/>
    <w:rsid w:val="00AE20A8"/>
    <w:rsid w:val="00AE22F5"/>
    <w:rsid w:val="00AE244A"/>
    <w:rsid w:val="00AE25D0"/>
    <w:rsid w:val="00AE266A"/>
    <w:rsid w:val="00AE2869"/>
    <w:rsid w:val="00AE289E"/>
    <w:rsid w:val="00AE2916"/>
    <w:rsid w:val="00AE2962"/>
    <w:rsid w:val="00AE2A1E"/>
    <w:rsid w:val="00AE2C3D"/>
    <w:rsid w:val="00AE2D0A"/>
    <w:rsid w:val="00AE2F2E"/>
    <w:rsid w:val="00AE3217"/>
    <w:rsid w:val="00AE33DB"/>
    <w:rsid w:val="00AE34B4"/>
    <w:rsid w:val="00AE3521"/>
    <w:rsid w:val="00AE35ED"/>
    <w:rsid w:val="00AE367D"/>
    <w:rsid w:val="00AE370D"/>
    <w:rsid w:val="00AE3743"/>
    <w:rsid w:val="00AE3748"/>
    <w:rsid w:val="00AE387F"/>
    <w:rsid w:val="00AE391A"/>
    <w:rsid w:val="00AE3A2B"/>
    <w:rsid w:val="00AE3BFB"/>
    <w:rsid w:val="00AE3D8F"/>
    <w:rsid w:val="00AE3E57"/>
    <w:rsid w:val="00AE3F51"/>
    <w:rsid w:val="00AE4239"/>
    <w:rsid w:val="00AE4378"/>
    <w:rsid w:val="00AE43D5"/>
    <w:rsid w:val="00AE44D7"/>
    <w:rsid w:val="00AE4569"/>
    <w:rsid w:val="00AE4754"/>
    <w:rsid w:val="00AE475A"/>
    <w:rsid w:val="00AE484A"/>
    <w:rsid w:val="00AE488C"/>
    <w:rsid w:val="00AE4991"/>
    <w:rsid w:val="00AE4A1C"/>
    <w:rsid w:val="00AE4A35"/>
    <w:rsid w:val="00AE4CE4"/>
    <w:rsid w:val="00AE4EB4"/>
    <w:rsid w:val="00AE4F02"/>
    <w:rsid w:val="00AE4F69"/>
    <w:rsid w:val="00AE4FA0"/>
    <w:rsid w:val="00AE4FE2"/>
    <w:rsid w:val="00AE526B"/>
    <w:rsid w:val="00AE54A9"/>
    <w:rsid w:val="00AE562E"/>
    <w:rsid w:val="00AE5C89"/>
    <w:rsid w:val="00AE5D0A"/>
    <w:rsid w:val="00AE5F4A"/>
    <w:rsid w:val="00AE6078"/>
    <w:rsid w:val="00AE663A"/>
    <w:rsid w:val="00AE6671"/>
    <w:rsid w:val="00AE67DE"/>
    <w:rsid w:val="00AE6DAA"/>
    <w:rsid w:val="00AE6F36"/>
    <w:rsid w:val="00AE6F60"/>
    <w:rsid w:val="00AE73B9"/>
    <w:rsid w:val="00AE74B0"/>
    <w:rsid w:val="00AE7709"/>
    <w:rsid w:val="00AE7AFB"/>
    <w:rsid w:val="00AE7BFD"/>
    <w:rsid w:val="00AE7CC3"/>
    <w:rsid w:val="00AE7F34"/>
    <w:rsid w:val="00AF02E5"/>
    <w:rsid w:val="00AF031A"/>
    <w:rsid w:val="00AF03F9"/>
    <w:rsid w:val="00AF04F3"/>
    <w:rsid w:val="00AF0543"/>
    <w:rsid w:val="00AF05F0"/>
    <w:rsid w:val="00AF0B7E"/>
    <w:rsid w:val="00AF0BEE"/>
    <w:rsid w:val="00AF0C65"/>
    <w:rsid w:val="00AF0E89"/>
    <w:rsid w:val="00AF0F80"/>
    <w:rsid w:val="00AF10E5"/>
    <w:rsid w:val="00AF11D4"/>
    <w:rsid w:val="00AF140C"/>
    <w:rsid w:val="00AF14FA"/>
    <w:rsid w:val="00AF1672"/>
    <w:rsid w:val="00AF1747"/>
    <w:rsid w:val="00AF19F0"/>
    <w:rsid w:val="00AF1AE2"/>
    <w:rsid w:val="00AF1AFB"/>
    <w:rsid w:val="00AF1B7D"/>
    <w:rsid w:val="00AF1C55"/>
    <w:rsid w:val="00AF1C74"/>
    <w:rsid w:val="00AF1E71"/>
    <w:rsid w:val="00AF1F2F"/>
    <w:rsid w:val="00AF1FBE"/>
    <w:rsid w:val="00AF20E2"/>
    <w:rsid w:val="00AF22C3"/>
    <w:rsid w:val="00AF2437"/>
    <w:rsid w:val="00AF259A"/>
    <w:rsid w:val="00AF2624"/>
    <w:rsid w:val="00AF28D2"/>
    <w:rsid w:val="00AF2CD1"/>
    <w:rsid w:val="00AF2DC0"/>
    <w:rsid w:val="00AF2EC5"/>
    <w:rsid w:val="00AF30C0"/>
    <w:rsid w:val="00AF3391"/>
    <w:rsid w:val="00AF341E"/>
    <w:rsid w:val="00AF34BE"/>
    <w:rsid w:val="00AF372D"/>
    <w:rsid w:val="00AF3A30"/>
    <w:rsid w:val="00AF3A4C"/>
    <w:rsid w:val="00AF3B68"/>
    <w:rsid w:val="00AF3DD0"/>
    <w:rsid w:val="00AF3FBA"/>
    <w:rsid w:val="00AF401B"/>
    <w:rsid w:val="00AF4159"/>
    <w:rsid w:val="00AF47AE"/>
    <w:rsid w:val="00AF47DD"/>
    <w:rsid w:val="00AF4874"/>
    <w:rsid w:val="00AF4AE6"/>
    <w:rsid w:val="00AF4F46"/>
    <w:rsid w:val="00AF51A1"/>
    <w:rsid w:val="00AF51E1"/>
    <w:rsid w:val="00AF546D"/>
    <w:rsid w:val="00AF54BF"/>
    <w:rsid w:val="00AF5610"/>
    <w:rsid w:val="00AF5AB7"/>
    <w:rsid w:val="00AF5D39"/>
    <w:rsid w:val="00AF5E78"/>
    <w:rsid w:val="00AF5F12"/>
    <w:rsid w:val="00AF6113"/>
    <w:rsid w:val="00AF6323"/>
    <w:rsid w:val="00AF63FB"/>
    <w:rsid w:val="00AF641D"/>
    <w:rsid w:val="00AF6438"/>
    <w:rsid w:val="00AF66A4"/>
    <w:rsid w:val="00AF6B63"/>
    <w:rsid w:val="00AF6B85"/>
    <w:rsid w:val="00AF6BE4"/>
    <w:rsid w:val="00AF6DAC"/>
    <w:rsid w:val="00AF6F15"/>
    <w:rsid w:val="00AF701A"/>
    <w:rsid w:val="00AF7189"/>
    <w:rsid w:val="00AF71E4"/>
    <w:rsid w:val="00AF7353"/>
    <w:rsid w:val="00AF76CE"/>
    <w:rsid w:val="00AF7A2B"/>
    <w:rsid w:val="00AF7B0F"/>
    <w:rsid w:val="00AF7DFC"/>
    <w:rsid w:val="00B00037"/>
    <w:rsid w:val="00B00120"/>
    <w:rsid w:val="00B00367"/>
    <w:rsid w:val="00B0044D"/>
    <w:rsid w:val="00B007A5"/>
    <w:rsid w:val="00B00898"/>
    <w:rsid w:val="00B009B1"/>
    <w:rsid w:val="00B00A27"/>
    <w:rsid w:val="00B00AC9"/>
    <w:rsid w:val="00B00B3C"/>
    <w:rsid w:val="00B00B69"/>
    <w:rsid w:val="00B00BB4"/>
    <w:rsid w:val="00B00BF2"/>
    <w:rsid w:val="00B00E64"/>
    <w:rsid w:val="00B00EC9"/>
    <w:rsid w:val="00B01050"/>
    <w:rsid w:val="00B01437"/>
    <w:rsid w:val="00B01674"/>
    <w:rsid w:val="00B016FA"/>
    <w:rsid w:val="00B017A9"/>
    <w:rsid w:val="00B017C4"/>
    <w:rsid w:val="00B0187E"/>
    <w:rsid w:val="00B0188A"/>
    <w:rsid w:val="00B01945"/>
    <w:rsid w:val="00B01AE3"/>
    <w:rsid w:val="00B01B65"/>
    <w:rsid w:val="00B01D4F"/>
    <w:rsid w:val="00B01D88"/>
    <w:rsid w:val="00B01DE1"/>
    <w:rsid w:val="00B01E7F"/>
    <w:rsid w:val="00B02125"/>
    <w:rsid w:val="00B0220E"/>
    <w:rsid w:val="00B022BF"/>
    <w:rsid w:val="00B02338"/>
    <w:rsid w:val="00B0280B"/>
    <w:rsid w:val="00B028B1"/>
    <w:rsid w:val="00B028C3"/>
    <w:rsid w:val="00B028D4"/>
    <w:rsid w:val="00B02ACF"/>
    <w:rsid w:val="00B02DF9"/>
    <w:rsid w:val="00B02E03"/>
    <w:rsid w:val="00B02F54"/>
    <w:rsid w:val="00B02F9F"/>
    <w:rsid w:val="00B02FD4"/>
    <w:rsid w:val="00B0303C"/>
    <w:rsid w:val="00B03078"/>
    <w:rsid w:val="00B033D6"/>
    <w:rsid w:val="00B03787"/>
    <w:rsid w:val="00B03A99"/>
    <w:rsid w:val="00B03D62"/>
    <w:rsid w:val="00B0423D"/>
    <w:rsid w:val="00B04368"/>
    <w:rsid w:val="00B04554"/>
    <w:rsid w:val="00B04740"/>
    <w:rsid w:val="00B04818"/>
    <w:rsid w:val="00B048A7"/>
    <w:rsid w:val="00B04925"/>
    <w:rsid w:val="00B04A0A"/>
    <w:rsid w:val="00B04B1A"/>
    <w:rsid w:val="00B04B7B"/>
    <w:rsid w:val="00B04C3E"/>
    <w:rsid w:val="00B04D3E"/>
    <w:rsid w:val="00B04E71"/>
    <w:rsid w:val="00B04EAB"/>
    <w:rsid w:val="00B05013"/>
    <w:rsid w:val="00B0528F"/>
    <w:rsid w:val="00B052A4"/>
    <w:rsid w:val="00B0567C"/>
    <w:rsid w:val="00B05705"/>
    <w:rsid w:val="00B057D6"/>
    <w:rsid w:val="00B057FF"/>
    <w:rsid w:val="00B05ADB"/>
    <w:rsid w:val="00B05AE2"/>
    <w:rsid w:val="00B05CE0"/>
    <w:rsid w:val="00B05DA9"/>
    <w:rsid w:val="00B05EF8"/>
    <w:rsid w:val="00B05F0E"/>
    <w:rsid w:val="00B05F1B"/>
    <w:rsid w:val="00B0631F"/>
    <w:rsid w:val="00B06492"/>
    <w:rsid w:val="00B066D0"/>
    <w:rsid w:val="00B06A60"/>
    <w:rsid w:val="00B06A70"/>
    <w:rsid w:val="00B06AF5"/>
    <w:rsid w:val="00B06C1B"/>
    <w:rsid w:val="00B07052"/>
    <w:rsid w:val="00B0711B"/>
    <w:rsid w:val="00B072C9"/>
    <w:rsid w:val="00B0730E"/>
    <w:rsid w:val="00B0741B"/>
    <w:rsid w:val="00B0760D"/>
    <w:rsid w:val="00B07779"/>
    <w:rsid w:val="00B07931"/>
    <w:rsid w:val="00B079C8"/>
    <w:rsid w:val="00B07C95"/>
    <w:rsid w:val="00B07D94"/>
    <w:rsid w:val="00B07FAC"/>
    <w:rsid w:val="00B10011"/>
    <w:rsid w:val="00B101E7"/>
    <w:rsid w:val="00B10252"/>
    <w:rsid w:val="00B102BF"/>
    <w:rsid w:val="00B1038F"/>
    <w:rsid w:val="00B1049C"/>
    <w:rsid w:val="00B104CB"/>
    <w:rsid w:val="00B106BA"/>
    <w:rsid w:val="00B106BD"/>
    <w:rsid w:val="00B108D6"/>
    <w:rsid w:val="00B10986"/>
    <w:rsid w:val="00B10A4F"/>
    <w:rsid w:val="00B10A8B"/>
    <w:rsid w:val="00B10B3C"/>
    <w:rsid w:val="00B10B53"/>
    <w:rsid w:val="00B10B5B"/>
    <w:rsid w:val="00B10D33"/>
    <w:rsid w:val="00B10DAB"/>
    <w:rsid w:val="00B10FFC"/>
    <w:rsid w:val="00B11359"/>
    <w:rsid w:val="00B11A97"/>
    <w:rsid w:val="00B11B4E"/>
    <w:rsid w:val="00B11BE8"/>
    <w:rsid w:val="00B11C5F"/>
    <w:rsid w:val="00B11CA0"/>
    <w:rsid w:val="00B11DCB"/>
    <w:rsid w:val="00B11F1C"/>
    <w:rsid w:val="00B12352"/>
    <w:rsid w:val="00B12429"/>
    <w:rsid w:val="00B127E4"/>
    <w:rsid w:val="00B12857"/>
    <w:rsid w:val="00B12C27"/>
    <w:rsid w:val="00B12C64"/>
    <w:rsid w:val="00B12D80"/>
    <w:rsid w:val="00B12E06"/>
    <w:rsid w:val="00B12E9E"/>
    <w:rsid w:val="00B12ED2"/>
    <w:rsid w:val="00B1315A"/>
    <w:rsid w:val="00B13363"/>
    <w:rsid w:val="00B1336E"/>
    <w:rsid w:val="00B1341F"/>
    <w:rsid w:val="00B1346B"/>
    <w:rsid w:val="00B134F1"/>
    <w:rsid w:val="00B1354B"/>
    <w:rsid w:val="00B13580"/>
    <w:rsid w:val="00B13850"/>
    <w:rsid w:val="00B13982"/>
    <w:rsid w:val="00B13CD2"/>
    <w:rsid w:val="00B13F14"/>
    <w:rsid w:val="00B14219"/>
    <w:rsid w:val="00B14487"/>
    <w:rsid w:val="00B144BC"/>
    <w:rsid w:val="00B146D2"/>
    <w:rsid w:val="00B148F2"/>
    <w:rsid w:val="00B14D1C"/>
    <w:rsid w:val="00B1523A"/>
    <w:rsid w:val="00B15332"/>
    <w:rsid w:val="00B1547C"/>
    <w:rsid w:val="00B154B9"/>
    <w:rsid w:val="00B15668"/>
    <w:rsid w:val="00B157B7"/>
    <w:rsid w:val="00B15976"/>
    <w:rsid w:val="00B15C4B"/>
    <w:rsid w:val="00B15DFA"/>
    <w:rsid w:val="00B1629F"/>
    <w:rsid w:val="00B162C6"/>
    <w:rsid w:val="00B1638F"/>
    <w:rsid w:val="00B163BC"/>
    <w:rsid w:val="00B1645F"/>
    <w:rsid w:val="00B16588"/>
    <w:rsid w:val="00B1687D"/>
    <w:rsid w:val="00B16D17"/>
    <w:rsid w:val="00B16DCF"/>
    <w:rsid w:val="00B16E24"/>
    <w:rsid w:val="00B16ECC"/>
    <w:rsid w:val="00B16F70"/>
    <w:rsid w:val="00B16F71"/>
    <w:rsid w:val="00B170ED"/>
    <w:rsid w:val="00B171E7"/>
    <w:rsid w:val="00B17209"/>
    <w:rsid w:val="00B1745B"/>
    <w:rsid w:val="00B174DF"/>
    <w:rsid w:val="00B174F7"/>
    <w:rsid w:val="00B1763C"/>
    <w:rsid w:val="00B176F4"/>
    <w:rsid w:val="00B178CB"/>
    <w:rsid w:val="00B179D4"/>
    <w:rsid w:val="00B17B24"/>
    <w:rsid w:val="00B17C6E"/>
    <w:rsid w:val="00B17CF7"/>
    <w:rsid w:val="00B17D51"/>
    <w:rsid w:val="00B17D84"/>
    <w:rsid w:val="00B17F24"/>
    <w:rsid w:val="00B17FAE"/>
    <w:rsid w:val="00B20050"/>
    <w:rsid w:val="00B2026A"/>
    <w:rsid w:val="00B202A2"/>
    <w:rsid w:val="00B20303"/>
    <w:rsid w:val="00B20572"/>
    <w:rsid w:val="00B20709"/>
    <w:rsid w:val="00B20793"/>
    <w:rsid w:val="00B20C81"/>
    <w:rsid w:val="00B20EC7"/>
    <w:rsid w:val="00B20EDB"/>
    <w:rsid w:val="00B210B8"/>
    <w:rsid w:val="00B212BE"/>
    <w:rsid w:val="00B21534"/>
    <w:rsid w:val="00B2161D"/>
    <w:rsid w:val="00B21652"/>
    <w:rsid w:val="00B216EB"/>
    <w:rsid w:val="00B21B0C"/>
    <w:rsid w:val="00B21B9D"/>
    <w:rsid w:val="00B21CF4"/>
    <w:rsid w:val="00B21D04"/>
    <w:rsid w:val="00B21DD6"/>
    <w:rsid w:val="00B22044"/>
    <w:rsid w:val="00B2213C"/>
    <w:rsid w:val="00B222C6"/>
    <w:rsid w:val="00B22312"/>
    <w:rsid w:val="00B226BE"/>
    <w:rsid w:val="00B2298F"/>
    <w:rsid w:val="00B229D3"/>
    <w:rsid w:val="00B22B77"/>
    <w:rsid w:val="00B22BD0"/>
    <w:rsid w:val="00B22BF2"/>
    <w:rsid w:val="00B22CDE"/>
    <w:rsid w:val="00B22FC3"/>
    <w:rsid w:val="00B23255"/>
    <w:rsid w:val="00B23476"/>
    <w:rsid w:val="00B23664"/>
    <w:rsid w:val="00B236BC"/>
    <w:rsid w:val="00B23786"/>
    <w:rsid w:val="00B23835"/>
    <w:rsid w:val="00B23864"/>
    <w:rsid w:val="00B23887"/>
    <w:rsid w:val="00B23A50"/>
    <w:rsid w:val="00B23FBC"/>
    <w:rsid w:val="00B23FED"/>
    <w:rsid w:val="00B24062"/>
    <w:rsid w:val="00B2409D"/>
    <w:rsid w:val="00B24124"/>
    <w:rsid w:val="00B2446D"/>
    <w:rsid w:val="00B2472F"/>
    <w:rsid w:val="00B249BD"/>
    <w:rsid w:val="00B24ADA"/>
    <w:rsid w:val="00B24C26"/>
    <w:rsid w:val="00B24D22"/>
    <w:rsid w:val="00B24F0E"/>
    <w:rsid w:val="00B24F81"/>
    <w:rsid w:val="00B250B9"/>
    <w:rsid w:val="00B250C8"/>
    <w:rsid w:val="00B251C8"/>
    <w:rsid w:val="00B2525B"/>
    <w:rsid w:val="00B2541D"/>
    <w:rsid w:val="00B25690"/>
    <w:rsid w:val="00B2576E"/>
    <w:rsid w:val="00B2590C"/>
    <w:rsid w:val="00B2595C"/>
    <w:rsid w:val="00B25AF3"/>
    <w:rsid w:val="00B25D72"/>
    <w:rsid w:val="00B2628A"/>
    <w:rsid w:val="00B2648F"/>
    <w:rsid w:val="00B2653D"/>
    <w:rsid w:val="00B2653F"/>
    <w:rsid w:val="00B265CC"/>
    <w:rsid w:val="00B26865"/>
    <w:rsid w:val="00B2688D"/>
    <w:rsid w:val="00B2697B"/>
    <w:rsid w:val="00B26C90"/>
    <w:rsid w:val="00B26D88"/>
    <w:rsid w:val="00B26E9B"/>
    <w:rsid w:val="00B27178"/>
    <w:rsid w:val="00B271AB"/>
    <w:rsid w:val="00B272B7"/>
    <w:rsid w:val="00B273F3"/>
    <w:rsid w:val="00B274D7"/>
    <w:rsid w:val="00B27628"/>
    <w:rsid w:val="00B2767A"/>
    <w:rsid w:val="00B2771D"/>
    <w:rsid w:val="00B278C8"/>
    <w:rsid w:val="00B27A39"/>
    <w:rsid w:val="00B27D4A"/>
    <w:rsid w:val="00B27D94"/>
    <w:rsid w:val="00B301FE"/>
    <w:rsid w:val="00B303FF"/>
    <w:rsid w:val="00B305D9"/>
    <w:rsid w:val="00B3074C"/>
    <w:rsid w:val="00B308A1"/>
    <w:rsid w:val="00B30915"/>
    <w:rsid w:val="00B309F3"/>
    <w:rsid w:val="00B30B18"/>
    <w:rsid w:val="00B30D9C"/>
    <w:rsid w:val="00B30E10"/>
    <w:rsid w:val="00B30F34"/>
    <w:rsid w:val="00B30FED"/>
    <w:rsid w:val="00B31118"/>
    <w:rsid w:val="00B311DC"/>
    <w:rsid w:val="00B31307"/>
    <w:rsid w:val="00B31852"/>
    <w:rsid w:val="00B318B9"/>
    <w:rsid w:val="00B31C8C"/>
    <w:rsid w:val="00B31CA5"/>
    <w:rsid w:val="00B31E5D"/>
    <w:rsid w:val="00B31E85"/>
    <w:rsid w:val="00B31F9A"/>
    <w:rsid w:val="00B32124"/>
    <w:rsid w:val="00B3213B"/>
    <w:rsid w:val="00B3217D"/>
    <w:rsid w:val="00B323BF"/>
    <w:rsid w:val="00B32528"/>
    <w:rsid w:val="00B3255F"/>
    <w:rsid w:val="00B3257C"/>
    <w:rsid w:val="00B325CA"/>
    <w:rsid w:val="00B32658"/>
    <w:rsid w:val="00B326FF"/>
    <w:rsid w:val="00B327B4"/>
    <w:rsid w:val="00B329B1"/>
    <w:rsid w:val="00B32A66"/>
    <w:rsid w:val="00B32AF7"/>
    <w:rsid w:val="00B32BD1"/>
    <w:rsid w:val="00B32DFA"/>
    <w:rsid w:val="00B331C2"/>
    <w:rsid w:val="00B331D8"/>
    <w:rsid w:val="00B334F9"/>
    <w:rsid w:val="00B33749"/>
    <w:rsid w:val="00B33764"/>
    <w:rsid w:val="00B33860"/>
    <w:rsid w:val="00B33AF5"/>
    <w:rsid w:val="00B33BE3"/>
    <w:rsid w:val="00B33F77"/>
    <w:rsid w:val="00B3403D"/>
    <w:rsid w:val="00B34066"/>
    <w:rsid w:val="00B34317"/>
    <w:rsid w:val="00B3447E"/>
    <w:rsid w:val="00B344B6"/>
    <w:rsid w:val="00B344CC"/>
    <w:rsid w:val="00B345FA"/>
    <w:rsid w:val="00B348CC"/>
    <w:rsid w:val="00B349ED"/>
    <w:rsid w:val="00B34A7F"/>
    <w:rsid w:val="00B34AE2"/>
    <w:rsid w:val="00B34BFC"/>
    <w:rsid w:val="00B34D76"/>
    <w:rsid w:val="00B34FAF"/>
    <w:rsid w:val="00B34FFC"/>
    <w:rsid w:val="00B3515D"/>
    <w:rsid w:val="00B35215"/>
    <w:rsid w:val="00B35224"/>
    <w:rsid w:val="00B35244"/>
    <w:rsid w:val="00B3538A"/>
    <w:rsid w:val="00B353ED"/>
    <w:rsid w:val="00B355EB"/>
    <w:rsid w:val="00B358D3"/>
    <w:rsid w:val="00B35A26"/>
    <w:rsid w:val="00B35AEA"/>
    <w:rsid w:val="00B35F50"/>
    <w:rsid w:val="00B3619A"/>
    <w:rsid w:val="00B36533"/>
    <w:rsid w:val="00B365F8"/>
    <w:rsid w:val="00B36940"/>
    <w:rsid w:val="00B369A7"/>
    <w:rsid w:val="00B369CF"/>
    <w:rsid w:val="00B36EBC"/>
    <w:rsid w:val="00B36F3A"/>
    <w:rsid w:val="00B37448"/>
    <w:rsid w:val="00B3744E"/>
    <w:rsid w:val="00B37579"/>
    <w:rsid w:val="00B37637"/>
    <w:rsid w:val="00B3763A"/>
    <w:rsid w:val="00B376FB"/>
    <w:rsid w:val="00B37728"/>
    <w:rsid w:val="00B377EE"/>
    <w:rsid w:val="00B37853"/>
    <w:rsid w:val="00B37A47"/>
    <w:rsid w:val="00B37DE3"/>
    <w:rsid w:val="00B37EBE"/>
    <w:rsid w:val="00B37F18"/>
    <w:rsid w:val="00B37FB8"/>
    <w:rsid w:val="00B37FE3"/>
    <w:rsid w:val="00B40205"/>
    <w:rsid w:val="00B4049E"/>
    <w:rsid w:val="00B405B5"/>
    <w:rsid w:val="00B407B7"/>
    <w:rsid w:val="00B408A1"/>
    <w:rsid w:val="00B40953"/>
    <w:rsid w:val="00B40C13"/>
    <w:rsid w:val="00B40D12"/>
    <w:rsid w:val="00B40E72"/>
    <w:rsid w:val="00B40F36"/>
    <w:rsid w:val="00B41413"/>
    <w:rsid w:val="00B414DF"/>
    <w:rsid w:val="00B416BD"/>
    <w:rsid w:val="00B416C2"/>
    <w:rsid w:val="00B41780"/>
    <w:rsid w:val="00B41A01"/>
    <w:rsid w:val="00B41A77"/>
    <w:rsid w:val="00B41E3A"/>
    <w:rsid w:val="00B41FA7"/>
    <w:rsid w:val="00B42026"/>
    <w:rsid w:val="00B42075"/>
    <w:rsid w:val="00B420F0"/>
    <w:rsid w:val="00B421C9"/>
    <w:rsid w:val="00B428B6"/>
    <w:rsid w:val="00B42983"/>
    <w:rsid w:val="00B42A9F"/>
    <w:rsid w:val="00B42BF7"/>
    <w:rsid w:val="00B42C11"/>
    <w:rsid w:val="00B42E7D"/>
    <w:rsid w:val="00B43196"/>
    <w:rsid w:val="00B4328C"/>
    <w:rsid w:val="00B43369"/>
    <w:rsid w:val="00B43406"/>
    <w:rsid w:val="00B434BC"/>
    <w:rsid w:val="00B43904"/>
    <w:rsid w:val="00B43AB4"/>
    <w:rsid w:val="00B43B1C"/>
    <w:rsid w:val="00B43C8E"/>
    <w:rsid w:val="00B44244"/>
    <w:rsid w:val="00B4435E"/>
    <w:rsid w:val="00B44376"/>
    <w:rsid w:val="00B447DF"/>
    <w:rsid w:val="00B449E3"/>
    <w:rsid w:val="00B44C60"/>
    <w:rsid w:val="00B45054"/>
    <w:rsid w:val="00B45187"/>
    <w:rsid w:val="00B4526C"/>
    <w:rsid w:val="00B453A9"/>
    <w:rsid w:val="00B45417"/>
    <w:rsid w:val="00B45465"/>
    <w:rsid w:val="00B45509"/>
    <w:rsid w:val="00B4552C"/>
    <w:rsid w:val="00B456BF"/>
    <w:rsid w:val="00B457E2"/>
    <w:rsid w:val="00B4584B"/>
    <w:rsid w:val="00B45914"/>
    <w:rsid w:val="00B45A90"/>
    <w:rsid w:val="00B45B3E"/>
    <w:rsid w:val="00B45D94"/>
    <w:rsid w:val="00B45DCC"/>
    <w:rsid w:val="00B45DED"/>
    <w:rsid w:val="00B46123"/>
    <w:rsid w:val="00B46536"/>
    <w:rsid w:val="00B46684"/>
    <w:rsid w:val="00B46691"/>
    <w:rsid w:val="00B466C2"/>
    <w:rsid w:val="00B46705"/>
    <w:rsid w:val="00B46762"/>
    <w:rsid w:val="00B46950"/>
    <w:rsid w:val="00B46C57"/>
    <w:rsid w:val="00B46CB1"/>
    <w:rsid w:val="00B46D23"/>
    <w:rsid w:val="00B46F0F"/>
    <w:rsid w:val="00B46F3F"/>
    <w:rsid w:val="00B47003"/>
    <w:rsid w:val="00B47202"/>
    <w:rsid w:val="00B4727F"/>
    <w:rsid w:val="00B47311"/>
    <w:rsid w:val="00B47467"/>
    <w:rsid w:val="00B47692"/>
    <w:rsid w:val="00B478A6"/>
    <w:rsid w:val="00B47C0E"/>
    <w:rsid w:val="00B47D7C"/>
    <w:rsid w:val="00B47DC6"/>
    <w:rsid w:val="00B47E04"/>
    <w:rsid w:val="00B502FF"/>
    <w:rsid w:val="00B50498"/>
    <w:rsid w:val="00B50555"/>
    <w:rsid w:val="00B5058D"/>
    <w:rsid w:val="00B506D5"/>
    <w:rsid w:val="00B50750"/>
    <w:rsid w:val="00B50BA0"/>
    <w:rsid w:val="00B50DF1"/>
    <w:rsid w:val="00B50F88"/>
    <w:rsid w:val="00B50FD0"/>
    <w:rsid w:val="00B51261"/>
    <w:rsid w:val="00B51267"/>
    <w:rsid w:val="00B51348"/>
    <w:rsid w:val="00B513E1"/>
    <w:rsid w:val="00B51486"/>
    <w:rsid w:val="00B51782"/>
    <w:rsid w:val="00B51B75"/>
    <w:rsid w:val="00B51D1E"/>
    <w:rsid w:val="00B51D31"/>
    <w:rsid w:val="00B5209F"/>
    <w:rsid w:val="00B523CE"/>
    <w:rsid w:val="00B523E2"/>
    <w:rsid w:val="00B52423"/>
    <w:rsid w:val="00B52454"/>
    <w:rsid w:val="00B5260A"/>
    <w:rsid w:val="00B527FE"/>
    <w:rsid w:val="00B528E0"/>
    <w:rsid w:val="00B528FF"/>
    <w:rsid w:val="00B529BC"/>
    <w:rsid w:val="00B529D2"/>
    <w:rsid w:val="00B52CF3"/>
    <w:rsid w:val="00B52E6D"/>
    <w:rsid w:val="00B52EBB"/>
    <w:rsid w:val="00B52FBA"/>
    <w:rsid w:val="00B5300B"/>
    <w:rsid w:val="00B5328D"/>
    <w:rsid w:val="00B5330B"/>
    <w:rsid w:val="00B5377B"/>
    <w:rsid w:val="00B53861"/>
    <w:rsid w:val="00B53892"/>
    <w:rsid w:val="00B53A20"/>
    <w:rsid w:val="00B53A7C"/>
    <w:rsid w:val="00B53DD4"/>
    <w:rsid w:val="00B53E18"/>
    <w:rsid w:val="00B542D9"/>
    <w:rsid w:val="00B542E4"/>
    <w:rsid w:val="00B54370"/>
    <w:rsid w:val="00B5469B"/>
    <w:rsid w:val="00B5470F"/>
    <w:rsid w:val="00B5479E"/>
    <w:rsid w:val="00B5495D"/>
    <w:rsid w:val="00B54AE9"/>
    <w:rsid w:val="00B54C3F"/>
    <w:rsid w:val="00B54C51"/>
    <w:rsid w:val="00B54CE4"/>
    <w:rsid w:val="00B54FC8"/>
    <w:rsid w:val="00B5503A"/>
    <w:rsid w:val="00B550AC"/>
    <w:rsid w:val="00B5517B"/>
    <w:rsid w:val="00B552D0"/>
    <w:rsid w:val="00B55548"/>
    <w:rsid w:val="00B5573A"/>
    <w:rsid w:val="00B55B0B"/>
    <w:rsid w:val="00B55B47"/>
    <w:rsid w:val="00B55B5B"/>
    <w:rsid w:val="00B55C4E"/>
    <w:rsid w:val="00B55C96"/>
    <w:rsid w:val="00B55CDD"/>
    <w:rsid w:val="00B55EB1"/>
    <w:rsid w:val="00B55F91"/>
    <w:rsid w:val="00B56377"/>
    <w:rsid w:val="00B56664"/>
    <w:rsid w:val="00B56984"/>
    <w:rsid w:val="00B569B4"/>
    <w:rsid w:val="00B56A98"/>
    <w:rsid w:val="00B56C9E"/>
    <w:rsid w:val="00B5712F"/>
    <w:rsid w:val="00B5720C"/>
    <w:rsid w:val="00B573AB"/>
    <w:rsid w:val="00B577D0"/>
    <w:rsid w:val="00B579BE"/>
    <w:rsid w:val="00B57A02"/>
    <w:rsid w:val="00B57AF1"/>
    <w:rsid w:val="00B57D2E"/>
    <w:rsid w:val="00B57F2A"/>
    <w:rsid w:val="00B57FEA"/>
    <w:rsid w:val="00B6000E"/>
    <w:rsid w:val="00B6020B"/>
    <w:rsid w:val="00B60372"/>
    <w:rsid w:val="00B603B2"/>
    <w:rsid w:val="00B6056C"/>
    <w:rsid w:val="00B606C1"/>
    <w:rsid w:val="00B60792"/>
    <w:rsid w:val="00B60A16"/>
    <w:rsid w:val="00B60B5B"/>
    <w:rsid w:val="00B60BF8"/>
    <w:rsid w:val="00B60C85"/>
    <w:rsid w:val="00B60CC9"/>
    <w:rsid w:val="00B60DEF"/>
    <w:rsid w:val="00B60E96"/>
    <w:rsid w:val="00B60EA4"/>
    <w:rsid w:val="00B60F8F"/>
    <w:rsid w:val="00B60FC5"/>
    <w:rsid w:val="00B60FE4"/>
    <w:rsid w:val="00B610A8"/>
    <w:rsid w:val="00B613BC"/>
    <w:rsid w:val="00B61413"/>
    <w:rsid w:val="00B61AE7"/>
    <w:rsid w:val="00B61C27"/>
    <w:rsid w:val="00B61C2E"/>
    <w:rsid w:val="00B61F5F"/>
    <w:rsid w:val="00B622BE"/>
    <w:rsid w:val="00B62411"/>
    <w:rsid w:val="00B6268C"/>
    <w:rsid w:val="00B626B7"/>
    <w:rsid w:val="00B6270D"/>
    <w:rsid w:val="00B627DA"/>
    <w:rsid w:val="00B629FB"/>
    <w:rsid w:val="00B62E9C"/>
    <w:rsid w:val="00B62ECF"/>
    <w:rsid w:val="00B62FA8"/>
    <w:rsid w:val="00B63467"/>
    <w:rsid w:val="00B63707"/>
    <w:rsid w:val="00B6384A"/>
    <w:rsid w:val="00B63890"/>
    <w:rsid w:val="00B639E3"/>
    <w:rsid w:val="00B63B66"/>
    <w:rsid w:val="00B63B81"/>
    <w:rsid w:val="00B63B90"/>
    <w:rsid w:val="00B63CA9"/>
    <w:rsid w:val="00B63D46"/>
    <w:rsid w:val="00B640E4"/>
    <w:rsid w:val="00B6428A"/>
    <w:rsid w:val="00B646AC"/>
    <w:rsid w:val="00B646E3"/>
    <w:rsid w:val="00B6479E"/>
    <w:rsid w:val="00B647F0"/>
    <w:rsid w:val="00B6485D"/>
    <w:rsid w:val="00B64ABE"/>
    <w:rsid w:val="00B64BE8"/>
    <w:rsid w:val="00B64C31"/>
    <w:rsid w:val="00B64CED"/>
    <w:rsid w:val="00B64D1C"/>
    <w:rsid w:val="00B64E3B"/>
    <w:rsid w:val="00B64F34"/>
    <w:rsid w:val="00B65093"/>
    <w:rsid w:val="00B65234"/>
    <w:rsid w:val="00B653FC"/>
    <w:rsid w:val="00B65747"/>
    <w:rsid w:val="00B65AD0"/>
    <w:rsid w:val="00B65B21"/>
    <w:rsid w:val="00B65B68"/>
    <w:rsid w:val="00B65CF1"/>
    <w:rsid w:val="00B65DB2"/>
    <w:rsid w:val="00B65E56"/>
    <w:rsid w:val="00B65F52"/>
    <w:rsid w:val="00B65F83"/>
    <w:rsid w:val="00B66030"/>
    <w:rsid w:val="00B66273"/>
    <w:rsid w:val="00B66301"/>
    <w:rsid w:val="00B6631D"/>
    <w:rsid w:val="00B66348"/>
    <w:rsid w:val="00B663AD"/>
    <w:rsid w:val="00B66569"/>
    <w:rsid w:val="00B668C4"/>
    <w:rsid w:val="00B668F9"/>
    <w:rsid w:val="00B66D5E"/>
    <w:rsid w:val="00B66DF3"/>
    <w:rsid w:val="00B670E8"/>
    <w:rsid w:val="00B671A5"/>
    <w:rsid w:val="00B671E4"/>
    <w:rsid w:val="00B67219"/>
    <w:rsid w:val="00B67443"/>
    <w:rsid w:val="00B674CB"/>
    <w:rsid w:val="00B6777B"/>
    <w:rsid w:val="00B67F60"/>
    <w:rsid w:val="00B7026F"/>
    <w:rsid w:val="00B70345"/>
    <w:rsid w:val="00B70348"/>
    <w:rsid w:val="00B70417"/>
    <w:rsid w:val="00B70459"/>
    <w:rsid w:val="00B7051B"/>
    <w:rsid w:val="00B705DA"/>
    <w:rsid w:val="00B7078F"/>
    <w:rsid w:val="00B7096C"/>
    <w:rsid w:val="00B70987"/>
    <w:rsid w:val="00B70A12"/>
    <w:rsid w:val="00B70A3E"/>
    <w:rsid w:val="00B70ED2"/>
    <w:rsid w:val="00B70F7E"/>
    <w:rsid w:val="00B71117"/>
    <w:rsid w:val="00B7112A"/>
    <w:rsid w:val="00B7129C"/>
    <w:rsid w:val="00B713A6"/>
    <w:rsid w:val="00B713EB"/>
    <w:rsid w:val="00B71446"/>
    <w:rsid w:val="00B7178B"/>
    <w:rsid w:val="00B717E2"/>
    <w:rsid w:val="00B71827"/>
    <w:rsid w:val="00B7198D"/>
    <w:rsid w:val="00B71BD0"/>
    <w:rsid w:val="00B71C13"/>
    <w:rsid w:val="00B71CEB"/>
    <w:rsid w:val="00B71DEF"/>
    <w:rsid w:val="00B71EBC"/>
    <w:rsid w:val="00B72169"/>
    <w:rsid w:val="00B721A3"/>
    <w:rsid w:val="00B72750"/>
    <w:rsid w:val="00B72D80"/>
    <w:rsid w:val="00B72EA0"/>
    <w:rsid w:val="00B72EAB"/>
    <w:rsid w:val="00B72EC9"/>
    <w:rsid w:val="00B72F71"/>
    <w:rsid w:val="00B72F97"/>
    <w:rsid w:val="00B730CA"/>
    <w:rsid w:val="00B7323E"/>
    <w:rsid w:val="00B73539"/>
    <w:rsid w:val="00B735F0"/>
    <w:rsid w:val="00B736F8"/>
    <w:rsid w:val="00B7394D"/>
    <w:rsid w:val="00B73B55"/>
    <w:rsid w:val="00B73B9B"/>
    <w:rsid w:val="00B74463"/>
    <w:rsid w:val="00B745C2"/>
    <w:rsid w:val="00B74719"/>
    <w:rsid w:val="00B74735"/>
    <w:rsid w:val="00B74814"/>
    <w:rsid w:val="00B74A5D"/>
    <w:rsid w:val="00B74B79"/>
    <w:rsid w:val="00B74CC9"/>
    <w:rsid w:val="00B74E31"/>
    <w:rsid w:val="00B751CF"/>
    <w:rsid w:val="00B7528A"/>
    <w:rsid w:val="00B75517"/>
    <w:rsid w:val="00B7555C"/>
    <w:rsid w:val="00B755D9"/>
    <w:rsid w:val="00B75673"/>
    <w:rsid w:val="00B7587A"/>
    <w:rsid w:val="00B75CC5"/>
    <w:rsid w:val="00B75D6A"/>
    <w:rsid w:val="00B75EEA"/>
    <w:rsid w:val="00B75F9A"/>
    <w:rsid w:val="00B76023"/>
    <w:rsid w:val="00B76105"/>
    <w:rsid w:val="00B76368"/>
    <w:rsid w:val="00B76383"/>
    <w:rsid w:val="00B763E5"/>
    <w:rsid w:val="00B76443"/>
    <w:rsid w:val="00B76448"/>
    <w:rsid w:val="00B764E8"/>
    <w:rsid w:val="00B76517"/>
    <w:rsid w:val="00B76697"/>
    <w:rsid w:val="00B7681E"/>
    <w:rsid w:val="00B7695E"/>
    <w:rsid w:val="00B76A58"/>
    <w:rsid w:val="00B76AF5"/>
    <w:rsid w:val="00B76B33"/>
    <w:rsid w:val="00B76D81"/>
    <w:rsid w:val="00B76D90"/>
    <w:rsid w:val="00B76E4C"/>
    <w:rsid w:val="00B77083"/>
    <w:rsid w:val="00B771CF"/>
    <w:rsid w:val="00B772C8"/>
    <w:rsid w:val="00B772E6"/>
    <w:rsid w:val="00B7733B"/>
    <w:rsid w:val="00B77673"/>
    <w:rsid w:val="00B77887"/>
    <w:rsid w:val="00B7792D"/>
    <w:rsid w:val="00B77B42"/>
    <w:rsid w:val="00B77C82"/>
    <w:rsid w:val="00B77D8E"/>
    <w:rsid w:val="00B77DBE"/>
    <w:rsid w:val="00B77DE0"/>
    <w:rsid w:val="00B77E2A"/>
    <w:rsid w:val="00B77ECD"/>
    <w:rsid w:val="00B800EC"/>
    <w:rsid w:val="00B8016E"/>
    <w:rsid w:val="00B80355"/>
    <w:rsid w:val="00B804D9"/>
    <w:rsid w:val="00B80663"/>
    <w:rsid w:val="00B80707"/>
    <w:rsid w:val="00B80721"/>
    <w:rsid w:val="00B80787"/>
    <w:rsid w:val="00B80880"/>
    <w:rsid w:val="00B80B17"/>
    <w:rsid w:val="00B80B48"/>
    <w:rsid w:val="00B80BA1"/>
    <w:rsid w:val="00B80D3B"/>
    <w:rsid w:val="00B80DC6"/>
    <w:rsid w:val="00B80F15"/>
    <w:rsid w:val="00B81083"/>
    <w:rsid w:val="00B811CA"/>
    <w:rsid w:val="00B8138A"/>
    <w:rsid w:val="00B8152D"/>
    <w:rsid w:val="00B81665"/>
    <w:rsid w:val="00B8170E"/>
    <w:rsid w:val="00B817D8"/>
    <w:rsid w:val="00B81CEC"/>
    <w:rsid w:val="00B81DC0"/>
    <w:rsid w:val="00B81E07"/>
    <w:rsid w:val="00B81EC0"/>
    <w:rsid w:val="00B81F88"/>
    <w:rsid w:val="00B82028"/>
    <w:rsid w:val="00B8217B"/>
    <w:rsid w:val="00B8224F"/>
    <w:rsid w:val="00B8237B"/>
    <w:rsid w:val="00B823DE"/>
    <w:rsid w:val="00B8242A"/>
    <w:rsid w:val="00B8252B"/>
    <w:rsid w:val="00B82567"/>
    <w:rsid w:val="00B82592"/>
    <w:rsid w:val="00B82621"/>
    <w:rsid w:val="00B82642"/>
    <w:rsid w:val="00B8292F"/>
    <w:rsid w:val="00B829DF"/>
    <w:rsid w:val="00B82AF3"/>
    <w:rsid w:val="00B82C5E"/>
    <w:rsid w:val="00B82D65"/>
    <w:rsid w:val="00B82DC0"/>
    <w:rsid w:val="00B82E24"/>
    <w:rsid w:val="00B83046"/>
    <w:rsid w:val="00B83195"/>
    <w:rsid w:val="00B8326B"/>
    <w:rsid w:val="00B83294"/>
    <w:rsid w:val="00B833B2"/>
    <w:rsid w:val="00B83768"/>
    <w:rsid w:val="00B83837"/>
    <w:rsid w:val="00B8387E"/>
    <w:rsid w:val="00B83AFF"/>
    <w:rsid w:val="00B83C90"/>
    <w:rsid w:val="00B83C93"/>
    <w:rsid w:val="00B83DE7"/>
    <w:rsid w:val="00B83E61"/>
    <w:rsid w:val="00B83EFA"/>
    <w:rsid w:val="00B83F5B"/>
    <w:rsid w:val="00B83F7C"/>
    <w:rsid w:val="00B84128"/>
    <w:rsid w:val="00B841F5"/>
    <w:rsid w:val="00B84279"/>
    <w:rsid w:val="00B8450C"/>
    <w:rsid w:val="00B84828"/>
    <w:rsid w:val="00B84AF0"/>
    <w:rsid w:val="00B84BE2"/>
    <w:rsid w:val="00B84C5D"/>
    <w:rsid w:val="00B84CC7"/>
    <w:rsid w:val="00B84EB0"/>
    <w:rsid w:val="00B84F58"/>
    <w:rsid w:val="00B84FF0"/>
    <w:rsid w:val="00B85092"/>
    <w:rsid w:val="00B850A0"/>
    <w:rsid w:val="00B85137"/>
    <w:rsid w:val="00B854AA"/>
    <w:rsid w:val="00B85525"/>
    <w:rsid w:val="00B85560"/>
    <w:rsid w:val="00B857B7"/>
    <w:rsid w:val="00B857CA"/>
    <w:rsid w:val="00B8591D"/>
    <w:rsid w:val="00B85921"/>
    <w:rsid w:val="00B85943"/>
    <w:rsid w:val="00B85C89"/>
    <w:rsid w:val="00B85CC7"/>
    <w:rsid w:val="00B85F25"/>
    <w:rsid w:val="00B85F90"/>
    <w:rsid w:val="00B8601D"/>
    <w:rsid w:val="00B86114"/>
    <w:rsid w:val="00B86154"/>
    <w:rsid w:val="00B861F8"/>
    <w:rsid w:val="00B86316"/>
    <w:rsid w:val="00B86332"/>
    <w:rsid w:val="00B865FD"/>
    <w:rsid w:val="00B8691A"/>
    <w:rsid w:val="00B869B9"/>
    <w:rsid w:val="00B869F4"/>
    <w:rsid w:val="00B86A14"/>
    <w:rsid w:val="00B86DC0"/>
    <w:rsid w:val="00B876A8"/>
    <w:rsid w:val="00B876C2"/>
    <w:rsid w:val="00B87867"/>
    <w:rsid w:val="00B87880"/>
    <w:rsid w:val="00B879DD"/>
    <w:rsid w:val="00B87B39"/>
    <w:rsid w:val="00B87BBD"/>
    <w:rsid w:val="00B87BD2"/>
    <w:rsid w:val="00B87CF7"/>
    <w:rsid w:val="00B87D0F"/>
    <w:rsid w:val="00B90005"/>
    <w:rsid w:val="00B901AD"/>
    <w:rsid w:val="00B9020B"/>
    <w:rsid w:val="00B902F7"/>
    <w:rsid w:val="00B9039F"/>
    <w:rsid w:val="00B903A5"/>
    <w:rsid w:val="00B903F5"/>
    <w:rsid w:val="00B90407"/>
    <w:rsid w:val="00B904A9"/>
    <w:rsid w:val="00B904E7"/>
    <w:rsid w:val="00B905D5"/>
    <w:rsid w:val="00B9064E"/>
    <w:rsid w:val="00B90908"/>
    <w:rsid w:val="00B90956"/>
    <w:rsid w:val="00B909E4"/>
    <w:rsid w:val="00B909ED"/>
    <w:rsid w:val="00B90A64"/>
    <w:rsid w:val="00B90B3F"/>
    <w:rsid w:val="00B90B44"/>
    <w:rsid w:val="00B90B74"/>
    <w:rsid w:val="00B90BDA"/>
    <w:rsid w:val="00B90BDC"/>
    <w:rsid w:val="00B90C9E"/>
    <w:rsid w:val="00B9108A"/>
    <w:rsid w:val="00B911A3"/>
    <w:rsid w:val="00B913DE"/>
    <w:rsid w:val="00B9153B"/>
    <w:rsid w:val="00B91AF8"/>
    <w:rsid w:val="00B91C1D"/>
    <w:rsid w:val="00B91C62"/>
    <w:rsid w:val="00B91F14"/>
    <w:rsid w:val="00B91FBA"/>
    <w:rsid w:val="00B9222A"/>
    <w:rsid w:val="00B92584"/>
    <w:rsid w:val="00B92713"/>
    <w:rsid w:val="00B92746"/>
    <w:rsid w:val="00B92A62"/>
    <w:rsid w:val="00B92A7E"/>
    <w:rsid w:val="00B92F0E"/>
    <w:rsid w:val="00B93002"/>
    <w:rsid w:val="00B930ED"/>
    <w:rsid w:val="00B9312C"/>
    <w:rsid w:val="00B9353B"/>
    <w:rsid w:val="00B93581"/>
    <w:rsid w:val="00B939F2"/>
    <w:rsid w:val="00B93A43"/>
    <w:rsid w:val="00B93B4B"/>
    <w:rsid w:val="00B93DBC"/>
    <w:rsid w:val="00B93F1F"/>
    <w:rsid w:val="00B940E3"/>
    <w:rsid w:val="00B94156"/>
    <w:rsid w:val="00B94397"/>
    <w:rsid w:val="00B943FC"/>
    <w:rsid w:val="00B946A9"/>
    <w:rsid w:val="00B94794"/>
    <w:rsid w:val="00B947D2"/>
    <w:rsid w:val="00B94816"/>
    <w:rsid w:val="00B949AF"/>
    <w:rsid w:val="00B94A57"/>
    <w:rsid w:val="00B94A77"/>
    <w:rsid w:val="00B94D2C"/>
    <w:rsid w:val="00B94D52"/>
    <w:rsid w:val="00B94D72"/>
    <w:rsid w:val="00B950C3"/>
    <w:rsid w:val="00B953C5"/>
    <w:rsid w:val="00B953E2"/>
    <w:rsid w:val="00B95425"/>
    <w:rsid w:val="00B9572A"/>
    <w:rsid w:val="00B95844"/>
    <w:rsid w:val="00B9586B"/>
    <w:rsid w:val="00B95A88"/>
    <w:rsid w:val="00B95D65"/>
    <w:rsid w:val="00B95EF9"/>
    <w:rsid w:val="00B95F14"/>
    <w:rsid w:val="00B95F60"/>
    <w:rsid w:val="00B96190"/>
    <w:rsid w:val="00B9619B"/>
    <w:rsid w:val="00B96443"/>
    <w:rsid w:val="00B966CC"/>
    <w:rsid w:val="00B967B1"/>
    <w:rsid w:val="00B967F2"/>
    <w:rsid w:val="00B96804"/>
    <w:rsid w:val="00B96818"/>
    <w:rsid w:val="00B968EC"/>
    <w:rsid w:val="00B9698C"/>
    <w:rsid w:val="00B969CB"/>
    <w:rsid w:val="00B96F5C"/>
    <w:rsid w:val="00B97153"/>
    <w:rsid w:val="00B972EF"/>
    <w:rsid w:val="00B975F9"/>
    <w:rsid w:val="00B97663"/>
    <w:rsid w:val="00B9771F"/>
    <w:rsid w:val="00B9791E"/>
    <w:rsid w:val="00B9795E"/>
    <w:rsid w:val="00B97A2D"/>
    <w:rsid w:val="00B97C90"/>
    <w:rsid w:val="00B97E5E"/>
    <w:rsid w:val="00B97EAB"/>
    <w:rsid w:val="00B97EB3"/>
    <w:rsid w:val="00B97F1E"/>
    <w:rsid w:val="00BA0131"/>
    <w:rsid w:val="00BA0384"/>
    <w:rsid w:val="00BA061C"/>
    <w:rsid w:val="00BA0692"/>
    <w:rsid w:val="00BA085E"/>
    <w:rsid w:val="00BA09DA"/>
    <w:rsid w:val="00BA108A"/>
    <w:rsid w:val="00BA11D3"/>
    <w:rsid w:val="00BA126D"/>
    <w:rsid w:val="00BA12DE"/>
    <w:rsid w:val="00BA13F7"/>
    <w:rsid w:val="00BA14DF"/>
    <w:rsid w:val="00BA1567"/>
    <w:rsid w:val="00BA1683"/>
    <w:rsid w:val="00BA188C"/>
    <w:rsid w:val="00BA1B52"/>
    <w:rsid w:val="00BA1C8B"/>
    <w:rsid w:val="00BA1D83"/>
    <w:rsid w:val="00BA1F1D"/>
    <w:rsid w:val="00BA1F84"/>
    <w:rsid w:val="00BA22BC"/>
    <w:rsid w:val="00BA234D"/>
    <w:rsid w:val="00BA26F6"/>
    <w:rsid w:val="00BA2C9C"/>
    <w:rsid w:val="00BA2CE9"/>
    <w:rsid w:val="00BA2D66"/>
    <w:rsid w:val="00BA2E7F"/>
    <w:rsid w:val="00BA34E4"/>
    <w:rsid w:val="00BA3568"/>
    <w:rsid w:val="00BA3586"/>
    <w:rsid w:val="00BA3591"/>
    <w:rsid w:val="00BA3783"/>
    <w:rsid w:val="00BA41EA"/>
    <w:rsid w:val="00BA4349"/>
    <w:rsid w:val="00BA44AF"/>
    <w:rsid w:val="00BA496B"/>
    <w:rsid w:val="00BA4CD8"/>
    <w:rsid w:val="00BA4DC0"/>
    <w:rsid w:val="00BA4F9C"/>
    <w:rsid w:val="00BA507F"/>
    <w:rsid w:val="00BA53AC"/>
    <w:rsid w:val="00BA54ED"/>
    <w:rsid w:val="00BA554F"/>
    <w:rsid w:val="00BA5568"/>
    <w:rsid w:val="00BA5604"/>
    <w:rsid w:val="00BA56A4"/>
    <w:rsid w:val="00BA5796"/>
    <w:rsid w:val="00BA5844"/>
    <w:rsid w:val="00BA5894"/>
    <w:rsid w:val="00BA5902"/>
    <w:rsid w:val="00BA59B8"/>
    <w:rsid w:val="00BA5C2D"/>
    <w:rsid w:val="00BA5CDC"/>
    <w:rsid w:val="00BA5E6E"/>
    <w:rsid w:val="00BA667E"/>
    <w:rsid w:val="00BA66BE"/>
    <w:rsid w:val="00BA679A"/>
    <w:rsid w:val="00BA68AD"/>
    <w:rsid w:val="00BA692D"/>
    <w:rsid w:val="00BA69DB"/>
    <w:rsid w:val="00BA6C93"/>
    <w:rsid w:val="00BA73A5"/>
    <w:rsid w:val="00BA766C"/>
    <w:rsid w:val="00BA76C7"/>
    <w:rsid w:val="00BA779F"/>
    <w:rsid w:val="00BA7A88"/>
    <w:rsid w:val="00BA7A99"/>
    <w:rsid w:val="00BA7D45"/>
    <w:rsid w:val="00BA7EBB"/>
    <w:rsid w:val="00BB004D"/>
    <w:rsid w:val="00BB02AE"/>
    <w:rsid w:val="00BB03E9"/>
    <w:rsid w:val="00BB03EB"/>
    <w:rsid w:val="00BB0408"/>
    <w:rsid w:val="00BB05F7"/>
    <w:rsid w:val="00BB060A"/>
    <w:rsid w:val="00BB069E"/>
    <w:rsid w:val="00BB0811"/>
    <w:rsid w:val="00BB087D"/>
    <w:rsid w:val="00BB08CD"/>
    <w:rsid w:val="00BB0920"/>
    <w:rsid w:val="00BB096E"/>
    <w:rsid w:val="00BB0A8A"/>
    <w:rsid w:val="00BB0AB4"/>
    <w:rsid w:val="00BB0B7E"/>
    <w:rsid w:val="00BB0C99"/>
    <w:rsid w:val="00BB0D22"/>
    <w:rsid w:val="00BB0D84"/>
    <w:rsid w:val="00BB0E4A"/>
    <w:rsid w:val="00BB118A"/>
    <w:rsid w:val="00BB11B2"/>
    <w:rsid w:val="00BB1272"/>
    <w:rsid w:val="00BB12C6"/>
    <w:rsid w:val="00BB1361"/>
    <w:rsid w:val="00BB13C1"/>
    <w:rsid w:val="00BB1565"/>
    <w:rsid w:val="00BB159D"/>
    <w:rsid w:val="00BB1746"/>
    <w:rsid w:val="00BB18A9"/>
    <w:rsid w:val="00BB190E"/>
    <w:rsid w:val="00BB1AF4"/>
    <w:rsid w:val="00BB1B52"/>
    <w:rsid w:val="00BB1C81"/>
    <w:rsid w:val="00BB1CCA"/>
    <w:rsid w:val="00BB1E05"/>
    <w:rsid w:val="00BB1F11"/>
    <w:rsid w:val="00BB2028"/>
    <w:rsid w:val="00BB21F3"/>
    <w:rsid w:val="00BB228B"/>
    <w:rsid w:val="00BB22FB"/>
    <w:rsid w:val="00BB2495"/>
    <w:rsid w:val="00BB2553"/>
    <w:rsid w:val="00BB25DC"/>
    <w:rsid w:val="00BB274B"/>
    <w:rsid w:val="00BB284B"/>
    <w:rsid w:val="00BB28D1"/>
    <w:rsid w:val="00BB2A54"/>
    <w:rsid w:val="00BB2A5D"/>
    <w:rsid w:val="00BB3029"/>
    <w:rsid w:val="00BB3117"/>
    <w:rsid w:val="00BB319C"/>
    <w:rsid w:val="00BB3219"/>
    <w:rsid w:val="00BB32C1"/>
    <w:rsid w:val="00BB32FE"/>
    <w:rsid w:val="00BB3329"/>
    <w:rsid w:val="00BB3755"/>
    <w:rsid w:val="00BB386A"/>
    <w:rsid w:val="00BB3886"/>
    <w:rsid w:val="00BB3AC3"/>
    <w:rsid w:val="00BB3C1D"/>
    <w:rsid w:val="00BB3F5C"/>
    <w:rsid w:val="00BB4072"/>
    <w:rsid w:val="00BB416C"/>
    <w:rsid w:val="00BB42F6"/>
    <w:rsid w:val="00BB44C6"/>
    <w:rsid w:val="00BB46B1"/>
    <w:rsid w:val="00BB4AF4"/>
    <w:rsid w:val="00BB4E64"/>
    <w:rsid w:val="00BB4F09"/>
    <w:rsid w:val="00BB51E9"/>
    <w:rsid w:val="00BB5478"/>
    <w:rsid w:val="00BB569E"/>
    <w:rsid w:val="00BB583B"/>
    <w:rsid w:val="00BB598E"/>
    <w:rsid w:val="00BB5A1D"/>
    <w:rsid w:val="00BB5AC6"/>
    <w:rsid w:val="00BB5C28"/>
    <w:rsid w:val="00BB5C47"/>
    <w:rsid w:val="00BB5F2F"/>
    <w:rsid w:val="00BB6048"/>
    <w:rsid w:val="00BB6114"/>
    <w:rsid w:val="00BB625C"/>
    <w:rsid w:val="00BB62AF"/>
    <w:rsid w:val="00BB63D1"/>
    <w:rsid w:val="00BB6979"/>
    <w:rsid w:val="00BB6A4D"/>
    <w:rsid w:val="00BB6D56"/>
    <w:rsid w:val="00BB6E8E"/>
    <w:rsid w:val="00BB6F2E"/>
    <w:rsid w:val="00BB7544"/>
    <w:rsid w:val="00BB767E"/>
    <w:rsid w:val="00BB797C"/>
    <w:rsid w:val="00BB7B31"/>
    <w:rsid w:val="00BB7C38"/>
    <w:rsid w:val="00BB7DAD"/>
    <w:rsid w:val="00BB7E5C"/>
    <w:rsid w:val="00BB7EDF"/>
    <w:rsid w:val="00BB7FDF"/>
    <w:rsid w:val="00BC016A"/>
    <w:rsid w:val="00BC0526"/>
    <w:rsid w:val="00BC0B45"/>
    <w:rsid w:val="00BC0D41"/>
    <w:rsid w:val="00BC0EDF"/>
    <w:rsid w:val="00BC10AF"/>
    <w:rsid w:val="00BC113E"/>
    <w:rsid w:val="00BC1254"/>
    <w:rsid w:val="00BC12BD"/>
    <w:rsid w:val="00BC1420"/>
    <w:rsid w:val="00BC154F"/>
    <w:rsid w:val="00BC15C7"/>
    <w:rsid w:val="00BC194B"/>
    <w:rsid w:val="00BC1B5C"/>
    <w:rsid w:val="00BC1D0F"/>
    <w:rsid w:val="00BC1D6A"/>
    <w:rsid w:val="00BC1EAF"/>
    <w:rsid w:val="00BC20C3"/>
    <w:rsid w:val="00BC20F7"/>
    <w:rsid w:val="00BC215C"/>
    <w:rsid w:val="00BC21F5"/>
    <w:rsid w:val="00BC2224"/>
    <w:rsid w:val="00BC25B1"/>
    <w:rsid w:val="00BC270B"/>
    <w:rsid w:val="00BC2868"/>
    <w:rsid w:val="00BC28B8"/>
    <w:rsid w:val="00BC290D"/>
    <w:rsid w:val="00BC2BB6"/>
    <w:rsid w:val="00BC2D7D"/>
    <w:rsid w:val="00BC2DDF"/>
    <w:rsid w:val="00BC3058"/>
    <w:rsid w:val="00BC318A"/>
    <w:rsid w:val="00BC31AC"/>
    <w:rsid w:val="00BC31BE"/>
    <w:rsid w:val="00BC3266"/>
    <w:rsid w:val="00BC32B7"/>
    <w:rsid w:val="00BC32F0"/>
    <w:rsid w:val="00BC345C"/>
    <w:rsid w:val="00BC35BB"/>
    <w:rsid w:val="00BC3809"/>
    <w:rsid w:val="00BC38E0"/>
    <w:rsid w:val="00BC3941"/>
    <w:rsid w:val="00BC3AA2"/>
    <w:rsid w:val="00BC3B17"/>
    <w:rsid w:val="00BC3B28"/>
    <w:rsid w:val="00BC3CE8"/>
    <w:rsid w:val="00BC3F39"/>
    <w:rsid w:val="00BC401E"/>
    <w:rsid w:val="00BC453A"/>
    <w:rsid w:val="00BC4667"/>
    <w:rsid w:val="00BC488B"/>
    <w:rsid w:val="00BC4AD0"/>
    <w:rsid w:val="00BC4AFC"/>
    <w:rsid w:val="00BC4BC5"/>
    <w:rsid w:val="00BC4BE8"/>
    <w:rsid w:val="00BC4D53"/>
    <w:rsid w:val="00BC4E06"/>
    <w:rsid w:val="00BC4E11"/>
    <w:rsid w:val="00BC4E1F"/>
    <w:rsid w:val="00BC5304"/>
    <w:rsid w:val="00BC545D"/>
    <w:rsid w:val="00BC546B"/>
    <w:rsid w:val="00BC54AE"/>
    <w:rsid w:val="00BC54C1"/>
    <w:rsid w:val="00BC54CC"/>
    <w:rsid w:val="00BC556F"/>
    <w:rsid w:val="00BC55E6"/>
    <w:rsid w:val="00BC583F"/>
    <w:rsid w:val="00BC59C1"/>
    <w:rsid w:val="00BC59FD"/>
    <w:rsid w:val="00BC5AF1"/>
    <w:rsid w:val="00BC5C32"/>
    <w:rsid w:val="00BC5C42"/>
    <w:rsid w:val="00BC5DF3"/>
    <w:rsid w:val="00BC5F10"/>
    <w:rsid w:val="00BC5F82"/>
    <w:rsid w:val="00BC6053"/>
    <w:rsid w:val="00BC6091"/>
    <w:rsid w:val="00BC6466"/>
    <w:rsid w:val="00BC656E"/>
    <w:rsid w:val="00BC658D"/>
    <w:rsid w:val="00BC664C"/>
    <w:rsid w:val="00BC67D9"/>
    <w:rsid w:val="00BC695E"/>
    <w:rsid w:val="00BC69C1"/>
    <w:rsid w:val="00BC6CF7"/>
    <w:rsid w:val="00BC6D84"/>
    <w:rsid w:val="00BC6F0A"/>
    <w:rsid w:val="00BC7242"/>
    <w:rsid w:val="00BC730C"/>
    <w:rsid w:val="00BC7344"/>
    <w:rsid w:val="00BC737E"/>
    <w:rsid w:val="00BC7494"/>
    <w:rsid w:val="00BC74C3"/>
    <w:rsid w:val="00BC758E"/>
    <w:rsid w:val="00BC75D0"/>
    <w:rsid w:val="00BC7647"/>
    <w:rsid w:val="00BC79F4"/>
    <w:rsid w:val="00BC7A63"/>
    <w:rsid w:val="00BC7AF4"/>
    <w:rsid w:val="00BC7C29"/>
    <w:rsid w:val="00BC7C65"/>
    <w:rsid w:val="00BC7D56"/>
    <w:rsid w:val="00BC7E74"/>
    <w:rsid w:val="00BC7EB6"/>
    <w:rsid w:val="00BC7EBD"/>
    <w:rsid w:val="00BD0068"/>
    <w:rsid w:val="00BD0126"/>
    <w:rsid w:val="00BD02A3"/>
    <w:rsid w:val="00BD0434"/>
    <w:rsid w:val="00BD0595"/>
    <w:rsid w:val="00BD0831"/>
    <w:rsid w:val="00BD08EE"/>
    <w:rsid w:val="00BD0912"/>
    <w:rsid w:val="00BD0A72"/>
    <w:rsid w:val="00BD0B3D"/>
    <w:rsid w:val="00BD0C65"/>
    <w:rsid w:val="00BD0D61"/>
    <w:rsid w:val="00BD0DAB"/>
    <w:rsid w:val="00BD0ECA"/>
    <w:rsid w:val="00BD1231"/>
    <w:rsid w:val="00BD12A6"/>
    <w:rsid w:val="00BD158B"/>
    <w:rsid w:val="00BD15E7"/>
    <w:rsid w:val="00BD180F"/>
    <w:rsid w:val="00BD19D4"/>
    <w:rsid w:val="00BD1D08"/>
    <w:rsid w:val="00BD1FDC"/>
    <w:rsid w:val="00BD2107"/>
    <w:rsid w:val="00BD21CF"/>
    <w:rsid w:val="00BD2277"/>
    <w:rsid w:val="00BD22AF"/>
    <w:rsid w:val="00BD239F"/>
    <w:rsid w:val="00BD24C1"/>
    <w:rsid w:val="00BD253C"/>
    <w:rsid w:val="00BD25B8"/>
    <w:rsid w:val="00BD267F"/>
    <w:rsid w:val="00BD27AA"/>
    <w:rsid w:val="00BD27E1"/>
    <w:rsid w:val="00BD2876"/>
    <w:rsid w:val="00BD289C"/>
    <w:rsid w:val="00BD2AF9"/>
    <w:rsid w:val="00BD2B45"/>
    <w:rsid w:val="00BD3105"/>
    <w:rsid w:val="00BD3163"/>
    <w:rsid w:val="00BD32B3"/>
    <w:rsid w:val="00BD33D6"/>
    <w:rsid w:val="00BD34FC"/>
    <w:rsid w:val="00BD3596"/>
    <w:rsid w:val="00BD3617"/>
    <w:rsid w:val="00BD36BC"/>
    <w:rsid w:val="00BD3C8B"/>
    <w:rsid w:val="00BD3CFD"/>
    <w:rsid w:val="00BD3D13"/>
    <w:rsid w:val="00BD3F22"/>
    <w:rsid w:val="00BD4167"/>
    <w:rsid w:val="00BD41D7"/>
    <w:rsid w:val="00BD4204"/>
    <w:rsid w:val="00BD4256"/>
    <w:rsid w:val="00BD4603"/>
    <w:rsid w:val="00BD46BA"/>
    <w:rsid w:val="00BD473A"/>
    <w:rsid w:val="00BD4807"/>
    <w:rsid w:val="00BD495C"/>
    <w:rsid w:val="00BD4A43"/>
    <w:rsid w:val="00BD4B2C"/>
    <w:rsid w:val="00BD4B2D"/>
    <w:rsid w:val="00BD4CDD"/>
    <w:rsid w:val="00BD4D0D"/>
    <w:rsid w:val="00BD5093"/>
    <w:rsid w:val="00BD5507"/>
    <w:rsid w:val="00BD55B9"/>
    <w:rsid w:val="00BD5A1F"/>
    <w:rsid w:val="00BD5A9A"/>
    <w:rsid w:val="00BD5AAF"/>
    <w:rsid w:val="00BD5CF2"/>
    <w:rsid w:val="00BD5D5D"/>
    <w:rsid w:val="00BD611A"/>
    <w:rsid w:val="00BD61A6"/>
    <w:rsid w:val="00BD61AF"/>
    <w:rsid w:val="00BD624E"/>
    <w:rsid w:val="00BD6483"/>
    <w:rsid w:val="00BD6569"/>
    <w:rsid w:val="00BD67A6"/>
    <w:rsid w:val="00BD6F94"/>
    <w:rsid w:val="00BD707D"/>
    <w:rsid w:val="00BD70F5"/>
    <w:rsid w:val="00BD7166"/>
    <w:rsid w:val="00BD75C3"/>
    <w:rsid w:val="00BD76AC"/>
    <w:rsid w:val="00BD76C5"/>
    <w:rsid w:val="00BD7754"/>
    <w:rsid w:val="00BD781D"/>
    <w:rsid w:val="00BD783F"/>
    <w:rsid w:val="00BD78BA"/>
    <w:rsid w:val="00BD7CEA"/>
    <w:rsid w:val="00BD7ED0"/>
    <w:rsid w:val="00BE00A1"/>
    <w:rsid w:val="00BE00B4"/>
    <w:rsid w:val="00BE03D5"/>
    <w:rsid w:val="00BE0489"/>
    <w:rsid w:val="00BE082A"/>
    <w:rsid w:val="00BE090C"/>
    <w:rsid w:val="00BE09A1"/>
    <w:rsid w:val="00BE0C7F"/>
    <w:rsid w:val="00BE0D12"/>
    <w:rsid w:val="00BE0D73"/>
    <w:rsid w:val="00BE0DD4"/>
    <w:rsid w:val="00BE0F06"/>
    <w:rsid w:val="00BE1152"/>
    <w:rsid w:val="00BE1366"/>
    <w:rsid w:val="00BE141E"/>
    <w:rsid w:val="00BE1A25"/>
    <w:rsid w:val="00BE1C2C"/>
    <w:rsid w:val="00BE1DDD"/>
    <w:rsid w:val="00BE1ED7"/>
    <w:rsid w:val="00BE1F03"/>
    <w:rsid w:val="00BE1FD3"/>
    <w:rsid w:val="00BE2017"/>
    <w:rsid w:val="00BE220B"/>
    <w:rsid w:val="00BE237C"/>
    <w:rsid w:val="00BE2386"/>
    <w:rsid w:val="00BE2561"/>
    <w:rsid w:val="00BE272B"/>
    <w:rsid w:val="00BE2864"/>
    <w:rsid w:val="00BE2965"/>
    <w:rsid w:val="00BE2ABB"/>
    <w:rsid w:val="00BE2B48"/>
    <w:rsid w:val="00BE2C7A"/>
    <w:rsid w:val="00BE2E90"/>
    <w:rsid w:val="00BE2F9E"/>
    <w:rsid w:val="00BE2FB5"/>
    <w:rsid w:val="00BE327B"/>
    <w:rsid w:val="00BE339D"/>
    <w:rsid w:val="00BE348A"/>
    <w:rsid w:val="00BE3501"/>
    <w:rsid w:val="00BE3505"/>
    <w:rsid w:val="00BE35A5"/>
    <w:rsid w:val="00BE36D8"/>
    <w:rsid w:val="00BE3751"/>
    <w:rsid w:val="00BE38D8"/>
    <w:rsid w:val="00BE3A87"/>
    <w:rsid w:val="00BE3AE2"/>
    <w:rsid w:val="00BE3BBC"/>
    <w:rsid w:val="00BE3BE4"/>
    <w:rsid w:val="00BE3E24"/>
    <w:rsid w:val="00BE3F7A"/>
    <w:rsid w:val="00BE40A8"/>
    <w:rsid w:val="00BE4108"/>
    <w:rsid w:val="00BE41FC"/>
    <w:rsid w:val="00BE4276"/>
    <w:rsid w:val="00BE4532"/>
    <w:rsid w:val="00BE471B"/>
    <w:rsid w:val="00BE48E3"/>
    <w:rsid w:val="00BE48F3"/>
    <w:rsid w:val="00BE496C"/>
    <w:rsid w:val="00BE49CE"/>
    <w:rsid w:val="00BE4B94"/>
    <w:rsid w:val="00BE4BF9"/>
    <w:rsid w:val="00BE4C32"/>
    <w:rsid w:val="00BE4C5C"/>
    <w:rsid w:val="00BE4EAD"/>
    <w:rsid w:val="00BE4F5A"/>
    <w:rsid w:val="00BE5365"/>
    <w:rsid w:val="00BE5376"/>
    <w:rsid w:val="00BE569C"/>
    <w:rsid w:val="00BE56CB"/>
    <w:rsid w:val="00BE5DCF"/>
    <w:rsid w:val="00BE5FC5"/>
    <w:rsid w:val="00BE5FC8"/>
    <w:rsid w:val="00BE5FE7"/>
    <w:rsid w:val="00BE6036"/>
    <w:rsid w:val="00BE60BB"/>
    <w:rsid w:val="00BE6171"/>
    <w:rsid w:val="00BE61B0"/>
    <w:rsid w:val="00BE6205"/>
    <w:rsid w:val="00BE6323"/>
    <w:rsid w:val="00BE63B1"/>
    <w:rsid w:val="00BE6460"/>
    <w:rsid w:val="00BE665E"/>
    <w:rsid w:val="00BE6AF5"/>
    <w:rsid w:val="00BE6F23"/>
    <w:rsid w:val="00BE7153"/>
    <w:rsid w:val="00BE71B3"/>
    <w:rsid w:val="00BE7202"/>
    <w:rsid w:val="00BE7328"/>
    <w:rsid w:val="00BE73AC"/>
    <w:rsid w:val="00BE747B"/>
    <w:rsid w:val="00BE7605"/>
    <w:rsid w:val="00BE7B22"/>
    <w:rsid w:val="00BE7C1E"/>
    <w:rsid w:val="00BE7E3C"/>
    <w:rsid w:val="00BF0080"/>
    <w:rsid w:val="00BF0389"/>
    <w:rsid w:val="00BF06A8"/>
    <w:rsid w:val="00BF07E3"/>
    <w:rsid w:val="00BF0893"/>
    <w:rsid w:val="00BF0A07"/>
    <w:rsid w:val="00BF0E30"/>
    <w:rsid w:val="00BF0FE4"/>
    <w:rsid w:val="00BF1974"/>
    <w:rsid w:val="00BF1B82"/>
    <w:rsid w:val="00BF2039"/>
    <w:rsid w:val="00BF2212"/>
    <w:rsid w:val="00BF2283"/>
    <w:rsid w:val="00BF229D"/>
    <w:rsid w:val="00BF2435"/>
    <w:rsid w:val="00BF2555"/>
    <w:rsid w:val="00BF26D8"/>
    <w:rsid w:val="00BF26D9"/>
    <w:rsid w:val="00BF277E"/>
    <w:rsid w:val="00BF2842"/>
    <w:rsid w:val="00BF296B"/>
    <w:rsid w:val="00BF29AF"/>
    <w:rsid w:val="00BF2BCD"/>
    <w:rsid w:val="00BF2CAC"/>
    <w:rsid w:val="00BF2DDA"/>
    <w:rsid w:val="00BF2E2B"/>
    <w:rsid w:val="00BF2E56"/>
    <w:rsid w:val="00BF2EAA"/>
    <w:rsid w:val="00BF2EC2"/>
    <w:rsid w:val="00BF2F90"/>
    <w:rsid w:val="00BF341F"/>
    <w:rsid w:val="00BF34BC"/>
    <w:rsid w:val="00BF3514"/>
    <w:rsid w:val="00BF3690"/>
    <w:rsid w:val="00BF36F2"/>
    <w:rsid w:val="00BF37D9"/>
    <w:rsid w:val="00BF38A9"/>
    <w:rsid w:val="00BF3B14"/>
    <w:rsid w:val="00BF3C25"/>
    <w:rsid w:val="00BF3C6A"/>
    <w:rsid w:val="00BF3EDF"/>
    <w:rsid w:val="00BF3F79"/>
    <w:rsid w:val="00BF3FAE"/>
    <w:rsid w:val="00BF3FDB"/>
    <w:rsid w:val="00BF3FDE"/>
    <w:rsid w:val="00BF40FE"/>
    <w:rsid w:val="00BF4292"/>
    <w:rsid w:val="00BF436C"/>
    <w:rsid w:val="00BF4462"/>
    <w:rsid w:val="00BF448A"/>
    <w:rsid w:val="00BF45E9"/>
    <w:rsid w:val="00BF4620"/>
    <w:rsid w:val="00BF4765"/>
    <w:rsid w:val="00BF47F6"/>
    <w:rsid w:val="00BF484A"/>
    <w:rsid w:val="00BF4A01"/>
    <w:rsid w:val="00BF4ABA"/>
    <w:rsid w:val="00BF4B45"/>
    <w:rsid w:val="00BF4BCF"/>
    <w:rsid w:val="00BF5021"/>
    <w:rsid w:val="00BF505C"/>
    <w:rsid w:val="00BF514F"/>
    <w:rsid w:val="00BF5154"/>
    <w:rsid w:val="00BF5188"/>
    <w:rsid w:val="00BF5461"/>
    <w:rsid w:val="00BF5547"/>
    <w:rsid w:val="00BF555E"/>
    <w:rsid w:val="00BF5564"/>
    <w:rsid w:val="00BF57A2"/>
    <w:rsid w:val="00BF57B7"/>
    <w:rsid w:val="00BF583E"/>
    <w:rsid w:val="00BF58E4"/>
    <w:rsid w:val="00BF5979"/>
    <w:rsid w:val="00BF6032"/>
    <w:rsid w:val="00BF6197"/>
    <w:rsid w:val="00BF6233"/>
    <w:rsid w:val="00BF6267"/>
    <w:rsid w:val="00BF641D"/>
    <w:rsid w:val="00BF6582"/>
    <w:rsid w:val="00BF65BD"/>
    <w:rsid w:val="00BF6627"/>
    <w:rsid w:val="00BF6732"/>
    <w:rsid w:val="00BF67C3"/>
    <w:rsid w:val="00BF68AB"/>
    <w:rsid w:val="00BF6AAF"/>
    <w:rsid w:val="00BF6AC5"/>
    <w:rsid w:val="00BF6ACC"/>
    <w:rsid w:val="00BF7354"/>
    <w:rsid w:val="00BF749E"/>
    <w:rsid w:val="00BF76ED"/>
    <w:rsid w:val="00BF78A2"/>
    <w:rsid w:val="00BF79F3"/>
    <w:rsid w:val="00BF7B56"/>
    <w:rsid w:val="00BF7D49"/>
    <w:rsid w:val="00BF7E9B"/>
    <w:rsid w:val="00BF7F04"/>
    <w:rsid w:val="00C000A7"/>
    <w:rsid w:val="00C0015C"/>
    <w:rsid w:val="00C001C8"/>
    <w:rsid w:val="00C0029E"/>
    <w:rsid w:val="00C002AA"/>
    <w:rsid w:val="00C002AB"/>
    <w:rsid w:val="00C0052D"/>
    <w:rsid w:val="00C00579"/>
    <w:rsid w:val="00C006CA"/>
    <w:rsid w:val="00C00827"/>
    <w:rsid w:val="00C0090A"/>
    <w:rsid w:val="00C00BDE"/>
    <w:rsid w:val="00C00C41"/>
    <w:rsid w:val="00C00C44"/>
    <w:rsid w:val="00C00CFB"/>
    <w:rsid w:val="00C00EA0"/>
    <w:rsid w:val="00C00F1B"/>
    <w:rsid w:val="00C01041"/>
    <w:rsid w:val="00C01271"/>
    <w:rsid w:val="00C014B0"/>
    <w:rsid w:val="00C0170A"/>
    <w:rsid w:val="00C01C52"/>
    <w:rsid w:val="00C01E41"/>
    <w:rsid w:val="00C01E4B"/>
    <w:rsid w:val="00C01F86"/>
    <w:rsid w:val="00C01FEB"/>
    <w:rsid w:val="00C024CF"/>
    <w:rsid w:val="00C0252C"/>
    <w:rsid w:val="00C026D0"/>
    <w:rsid w:val="00C027B3"/>
    <w:rsid w:val="00C028CA"/>
    <w:rsid w:val="00C029FF"/>
    <w:rsid w:val="00C02A7E"/>
    <w:rsid w:val="00C02AF5"/>
    <w:rsid w:val="00C02C07"/>
    <w:rsid w:val="00C02C2F"/>
    <w:rsid w:val="00C02C5A"/>
    <w:rsid w:val="00C02DB7"/>
    <w:rsid w:val="00C02E0E"/>
    <w:rsid w:val="00C02E38"/>
    <w:rsid w:val="00C033EC"/>
    <w:rsid w:val="00C03569"/>
    <w:rsid w:val="00C03615"/>
    <w:rsid w:val="00C03666"/>
    <w:rsid w:val="00C0379B"/>
    <w:rsid w:val="00C03A67"/>
    <w:rsid w:val="00C03CCA"/>
    <w:rsid w:val="00C03D8A"/>
    <w:rsid w:val="00C03DA0"/>
    <w:rsid w:val="00C03E5C"/>
    <w:rsid w:val="00C03FC5"/>
    <w:rsid w:val="00C0409C"/>
    <w:rsid w:val="00C04168"/>
    <w:rsid w:val="00C044EC"/>
    <w:rsid w:val="00C044FF"/>
    <w:rsid w:val="00C04922"/>
    <w:rsid w:val="00C049FF"/>
    <w:rsid w:val="00C04B50"/>
    <w:rsid w:val="00C04D0E"/>
    <w:rsid w:val="00C04DC4"/>
    <w:rsid w:val="00C050C2"/>
    <w:rsid w:val="00C05137"/>
    <w:rsid w:val="00C0551F"/>
    <w:rsid w:val="00C0552C"/>
    <w:rsid w:val="00C05742"/>
    <w:rsid w:val="00C057CD"/>
    <w:rsid w:val="00C05835"/>
    <w:rsid w:val="00C05BD5"/>
    <w:rsid w:val="00C05C21"/>
    <w:rsid w:val="00C05C7C"/>
    <w:rsid w:val="00C05D5C"/>
    <w:rsid w:val="00C05E6B"/>
    <w:rsid w:val="00C05FE5"/>
    <w:rsid w:val="00C06149"/>
    <w:rsid w:val="00C061A5"/>
    <w:rsid w:val="00C06290"/>
    <w:rsid w:val="00C06467"/>
    <w:rsid w:val="00C066BF"/>
    <w:rsid w:val="00C068FD"/>
    <w:rsid w:val="00C069CE"/>
    <w:rsid w:val="00C069F0"/>
    <w:rsid w:val="00C06A4C"/>
    <w:rsid w:val="00C06AB5"/>
    <w:rsid w:val="00C06B64"/>
    <w:rsid w:val="00C06BFB"/>
    <w:rsid w:val="00C06C59"/>
    <w:rsid w:val="00C06CFB"/>
    <w:rsid w:val="00C06D89"/>
    <w:rsid w:val="00C06E43"/>
    <w:rsid w:val="00C0737E"/>
    <w:rsid w:val="00C074BC"/>
    <w:rsid w:val="00C0751B"/>
    <w:rsid w:val="00C07653"/>
    <w:rsid w:val="00C0775B"/>
    <w:rsid w:val="00C0795B"/>
    <w:rsid w:val="00C07A17"/>
    <w:rsid w:val="00C07AF1"/>
    <w:rsid w:val="00C07B50"/>
    <w:rsid w:val="00C07BA1"/>
    <w:rsid w:val="00C07C6A"/>
    <w:rsid w:val="00C07CEF"/>
    <w:rsid w:val="00C07E4E"/>
    <w:rsid w:val="00C07E55"/>
    <w:rsid w:val="00C07EE6"/>
    <w:rsid w:val="00C10020"/>
    <w:rsid w:val="00C1003F"/>
    <w:rsid w:val="00C100B3"/>
    <w:rsid w:val="00C1018C"/>
    <w:rsid w:val="00C10389"/>
    <w:rsid w:val="00C10533"/>
    <w:rsid w:val="00C10571"/>
    <w:rsid w:val="00C105B4"/>
    <w:rsid w:val="00C10822"/>
    <w:rsid w:val="00C10892"/>
    <w:rsid w:val="00C10B8C"/>
    <w:rsid w:val="00C10E4D"/>
    <w:rsid w:val="00C110FE"/>
    <w:rsid w:val="00C1112A"/>
    <w:rsid w:val="00C112FC"/>
    <w:rsid w:val="00C113FD"/>
    <w:rsid w:val="00C11721"/>
    <w:rsid w:val="00C1186D"/>
    <w:rsid w:val="00C11A13"/>
    <w:rsid w:val="00C11A7E"/>
    <w:rsid w:val="00C11AB3"/>
    <w:rsid w:val="00C11AB5"/>
    <w:rsid w:val="00C11B8F"/>
    <w:rsid w:val="00C11BF5"/>
    <w:rsid w:val="00C11C47"/>
    <w:rsid w:val="00C11C9F"/>
    <w:rsid w:val="00C12161"/>
    <w:rsid w:val="00C1238F"/>
    <w:rsid w:val="00C12391"/>
    <w:rsid w:val="00C123F2"/>
    <w:rsid w:val="00C12606"/>
    <w:rsid w:val="00C12807"/>
    <w:rsid w:val="00C128D0"/>
    <w:rsid w:val="00C12B21"/>
    <w:rsid w:val="00C12C5B"/>
    <w:rsid w:val="00C12D59"/>
    <w:rsid w:val="00C12DF6"/>
    <w:rsid w:val="00C132F7"/>
    <w:rsid w:val="00C1346F"/>
    <w:rsid w:val="00C134B9"/>
    <w:rsid w:val="00C13793"/>
    <w:rsid w:val="00C13823"/>
    <w:rsid w:val="00C13916"/>
    <w:rsid w:val="00C13BC9"/>
    <w:rsid w:val="00C13CAA"/>
    <w:rsid w:val="00C13EE0"/>
    <w:rsid w:val="00C13F81"/>
    <w:rsid w:val="00C1414F"/>
    <w:rsid w:val="00C1416B"/>
    <w:rsid w:val="00C143E8"/>
    <w:rsid w:val="00C1446A"/>
    <w:rsid w:val="00C14667"/>
    <w:rsid w:val="00C146C0"/>
    <w:rsid w:val="00C14870"/>
    <w:rsid w:val="00C14ADE"/>
    <w:rsid w:val="00C14B1E"/>
    <w:rsid w:val="00C14F29"/>
    <w:rsid w:val="00C14FDD"/>
    <w:rsid w:val="00C150DD"/>
    <w:rsid w:val="00C15133"/>
    <w:rsid w:val="00C151C1"/>
    <w:rsid w:val="00C151E5"/>
    <w:rsid w:val="00C1525B"/>
    <w:rsid w:val="00C153DE"/>
    <w:rsid w:val="00C155D7"/>
    <w:rsid w:val="00C15A34"/>
    <w:rsid w:val="00C15BFA"/>
    <w:rsid w:val="00C15C40"/>
    <w:rsid w:val="00C15C8D"/>
    <w:rsid w:val="00C16170"/>
    <w:rsid w:val="00C162AF"/>
    <w:rsid w:val="00C162C8"/>
    <w:rsid w:val="00C16314"/>
    <w:rsid w:val="00C16327"/>
    <w:rsid w:val="00C16426"/>
    <w:rsid w:val="00C16BD0"/>
    <w:rsid w:val="00C16BD9"/>
    <w:rsid w:val="00C16D14"/>
    <w:rsid w:val="00C16F60"/>
    <w:rsid w:val="00C1702F"/>
    <w:rsid w:val="00C171D1"/>
    <w:rsid w:val="00C174CC"/>
    <w:rsid w:val="00C175A2"/>
    <w:rsid w:val="00C17609"/>
    <w:rsid w:val="00C176B3"/>
    <w:rsid w:val="00C17912"/>
    <w:rsid w:val="00C17958"/>
    <w:rsid w:val="00C179F0"/>
    <w:rsid w:val="00C17CB0"/>
    <w:rsid w:val="00C17DB4"/>
    <w:rsid w:val="00C17F8A"/>
    <w:rsid w:val="00C17FC2"/>
    <w:rsid w:val="00C17FD4"/>
    <w:rsid w:val="00C20098"/>
    <w:rsid w:val="00C201C9"/>
    <w:rsid w:val="00C2038E"/>
    <w:rsid w:val="00C205EA"/>
    <w:rsid w:val="00C205ED"/>
    <w:rsid w:val="00C20698"/>
    <w:rsid w:val="00C206D5"/>
    <w:rsid w:val="00C207D9"/>
    <w:rsid w:val="00C20A9A"/>
    <w:rsid w:val="00C20F92"/>
    <w:rsid w:val="00C20F99"/>
    <w:rsid w:val="00C2122B"/>
    <w:rsid w:val="00C213BF"/>
    <w:rsid w:val="00C2141F"/>
    <w:rsid w:val="00C21555"/>
    <w:rsid w:val="00C2166C"/>
    <w:rsid w:val="00C217CC"/>
    <w:rsid w:val="00C21873"/>
    <w:rsid w:val="00C21A33"/>
    <w:rsid w:val="00C21B20"/>
    <w:rsid w:val="00C21BA1"/>
    <w:rsid w:val="00C21BDB"/>
    <w:rsid w:val="00C21C20"/>
    <w:rsid w:val="00C21C86"/>
    <w:rsid w:val="00C21DB8"/>
    <w:rsid w:val="00C21DCA"/>
    <w:rsid w:val="00C21E8C"/>
    <w:rsid w:val="00C21EBD"/>
    <w:rsid w:val="00C21FC9"/>
    <w:rsid w:val="00C221A1"/>
    <w:rsid w:val="00C224D4"/>
    <w:rsid w:val="00C22592"/>
    <w:rsid w:val="00C225A7"/>
    <w:rsid w:val="00C225C9"/>
    <w:rsid w:val="00C225E8"/>
    <w:rsid w:val="00C22744"/>
    <w:rsid w:val="00C22858"/>
    <w:rsid w:val="00C22988"/>
    <w:rsid w:val="00C23075"/>
    <w:rsid w:val="00C23390"/>
    <w:rsid w:val="00C23674"/>
    <w:rsid w:val="00C2378A"/>
    <w:rsid w:val="00C2379C"/>
    <w:rsid w:val="00C237F6"/>
    <w:rsid w:val="00C23831"/>
    <w:rsid w:val="00C239C7"/>
    <w:rsid w:val="00C23A0D"/>
    <w:rsid w:val="00C23AD1"/>
    <w:rsid w:val="00C23D88"/>
    <w:rsid w:val="00C23E1B"/>
    <w:rsid w:val="00C23E3A"/>
    <w:rsid w:val="00C23FC0"/>
    <w:rsid w:val="00C2403B"/>
    <w:rsid w:val="00C241D7"/>
    <w:rsid w:val="00C24578"/>
    <w:rsid w:val="00C24814"/>
    <w:rsid w:val="00C24A50"/>
    <w:rsid w:val="00C24A5E"/>
    <w:rsid w:val="00C24DE9"/>
    <w:rsid w:val="00C24E66"/>
    <w:rsid w:val="00C24EE7"/>
    <w:rsid w:val="00C2515E"/>
    <w:rsid w:val="00C251EA"/>
    <w:rsid w:val="00C2523E"/>
    <w:rsid w:val="00C252F2"/>
    <w:rsid w:val="00C2534E"/>
    <w:rsid w:val="00C253DB"/>
    <w:rsid w:val="00C253E4"/>
    <w:rsid w:val="00C256C9"/>
    <w:rsid w:val="00C256DD"/>
    <w:rsid w:val="00C25841"/>
    <w:rsid w:val="00C258A7"/>
    <w:rsid w:val="00C259DB"/>
    <w:rsid w:val="00C25A37"/>
    <w:rsid w:val="00C25C6B"/>
    <w:rsid w:val="00C26051"/>
    <w:rsid w:val="00C260E2"/>
    <w:rsid w:val="00C262BE"/>
    <w:rsid w:val="00C26374"/>
    <w:rsid w:val="00C26559"/>
    <w:rsid w:val="00C26593"/>
    <w:rsid w:val="00C266E0"/>
    <w:rsid w:val="00C2672A"/>
    <w:rsid w:val="00C267F7"/>
    <w:rsid w:val="00C26A62"/>
    <w:rsid w:val="00C26AFD"/>
    <w:rsid w:val="00C26D17"/>
    <w:rsid w:val="00C27026"/>
    <w:rsid w:val="00C27073"/>
    <w:rsid w:val="00C27309"/>
    <w:rsid w:val="00C27337"/>
    <w:rsid w:val="00C275A4"/>
    <w:rsid w:val="00C276AB"/>
    <w:rsid w:val="00C277B6"/>
    <w:rsid w:val="00C278C6"/>
    <w:rsid w:val="00C2794A"/>
    <w:rsid w:val="00C2797D"/>
    <w:rsid w:val="00C279A5"/>
    <w:rsid w:val="00C27B55"/>
    <w:rsid w:val="00C27C73"/>
    <w:rsid w:val="00C27DFE"/>
    <w:rsid w:val="00C27FF8"/>
    <w:rsid w:val="00C301AB"/>
    <w:rsid w:val="00C30346"/>
    <w:rsid w:val="00C303C7"/>
    <w:rsid w:val="00C305FE"/>
    <w:rsid w:val="00C30903"/>
    <w:rsid w:val="00C30921"/>
    <w:rsid w:val="00C30CDF"/>
    <w:rsid w:val="00C30D39"/>
    <w:rsid w:val="00C30DD6"/>
    <w:rsid w:val="00C30E95"/>
    <w:rsid w:val="00C312BC"/>
    <w:rsid w:val="00C31362"/>
    <w:rsid w:val="00C314A9"/>
    <w:rsid w:val="00C3157C"/>
    <w:rsid w:val="00C318B5"/>
    <w:rsid w:val="00C31A31"/>
    <w:rsid w:val="00C31C84"/>
    <w:rsid w:val="00C31DA8"/>
    <w:rsid w:val="00C31ECC"/>
    <w:rsid w:val="00C320D7"/>
    <w:rsid w:val="00C3228C"/>
    <w:rsid w:val="00C32340"/>
    <w:rsid w:val="00C323A9"/>
    <w:rsid w:val="00C3255C"/>
    <w:rsid w:val="00C32A1F"/>
    <w:rsid w:val="00C32ADC"/>
    <w:rsid w:val="00C32B02"/>
    <w:rsid w:val="00C32CD8"/>
    <w:rsid w:val="00C32CF5"/>
    <w:rsid w:val="00C32F15"/>
    <w:rsid w:val="00C32F18"/>
    <w:rsid w:val="00C32F9F"/>
    <w:rsid w:val="00C32FD1"/>
    <w:rsid w:val="00C32FD8"/>
    <w:rsid w:val="00C33017"/>
    <w:rsid w:val="00C3330C"/>
    <w:rsid w:val="00C33502"/>
    <w:rsid w:val="00C33683"/>
    <w:rsid w:val="00C336D1"/>
    <w:rsid w:val="00C337F7"/>
    <w:rsid w:val="00C33A20"/>
    <w:rsid w:val="00C33ABA"/>
    <w:rsid w:val="00C33C5B"/>
    <w:rsid w:val="00C33CE1"/>
    <w:rsid w:val="00C33D18"/>
    <w:rsid w:val="00C33E36"/>
    <w:rsid w:val="00C33FBE"/>
    <w:rsid w:val="00C340F7"/>
    <w:rsid w:val="00C341A9"/>
    <w:rsid w:val="00C341DD"/>
    <w:rsid w:val="00C34415"/>
    <w:rsid w:val="00C34706"/>
    <w:rsid w:val="00C347B8"/>
    <w:rsid w:val="00C34803"/>
    <w:rsid w:val="00C3481D"/>
    <w:rsid w:val="00C348C3"/>
    <w:rsid w:val="00C348F5"/>
    <w:rsid w:val="00C34ACF"/>
    <w:rsid w:val="00C34AF6"/>
    <w:rsid w:val="00C34BA3"/>
    <w:rsid w:val="00C34CD4"/>
    <w:rsid w:val="00C34DAC"/>
    <w:rsid w:val="00C34F90"/>
    <w:rsid w:val="00C34FE9"/>
    <w:rsid w:val="00C3503F"/>
    <w:rsid w:val="00C350C6"/>
    <w:rsid w:val="00C3518E"/>
    <w:rsid w:val="00C35403"/>
    <w:rsid w:val="00C3541C"/>
    <w:rsid w:val="00C356C4"/>
    <w:rsid w:val="00C35BDE"/>
    <w:rsid w:val="00C35C25"/>
    <w:rsid w:val="00C35DE7"/>
    <w:rsid w:val="00C35E3A"/>
    <w:rsid w:val="00C35F0E"/>
    <w:rsid w:val="00C362FC"/>
    <w:rsid w:val="00C36442"/>
    <w:rsid w:val="00C36813"/>
    <w:rsid w:val="00C3686B"/>
    <w:rsid w:val="00C36AC9"/>
    <w:rsid w:val="00C36C3C"/>
    <w:rsid w:val="00C36CA4"/>
    <w:rsid w:val="00C36F11"/>
    <w:rsid w:val="00C370C1"/>
    <w:rsid w:val="00C3717E"/>
    <w:rsid w:val="00C3739F"/>
    <w:rsid w:val="00C373B5"/>
    <w:rsid w:val="00C373F0"/>
    <w:rsid w:val="00C37408"/>
    <w:rsid w:val="00C376D6"/>
    <w:rsid w:val="00C37833"/>
    <w:rsid w:val="00C378BA"/>
    <w:rsid w:val="00C3791C"/>
    <w:rsid w:val="00C37B29"/>
    <w:rsid w:val="00C37BCC"/>
    <w:rsid w:val="00C37C06"/>
    <w:rsid w:val="00C37CC3"/>
    <w:rsid w:val="00C37CE2"/>
    <w:rsid w:val="00C37D31"/>
    <w:rsid w:val="00C37F1E"/>
    <w:rsid w:val="00C37F92"/>
    <w:rsid w:val="00C37FC0"/>
    <w:rsid w:val="00C4003A"/>
    <w:rsid w:val="00C40177"/>
    <w:rsid w:val="00C4044F"/>
    <w:rsid w:val="00C40552"/>
    <w:rsid w:val="00C4062A"/>
    <w:rsid w:val="00C40ACC"/>
    <w:rsid w:val="00C40B0A"/>
    <w:rsid w:val="00C40C04"/>
    <w:rsid w:val="00C40C0D"/>
    <w:rsid w:val="00C40DC5"/>
    <w:rsid w:val="00C412A9"/>
    <w:rsid w:val="00C41576"/>
    <w:rsid w:val="00C41596"/>
    <w:rsid w:val="00C4163F"/>
    <w:rsid w:val="00C4167E"/>
    <w:rsid w:val="00C416E8"/>
    <w:rsid w:val="00C41704"/>
    <w:rsid w:val="00C417F3"/>
    <w:rsid w:val="00C4182D"/>
    <w:rsid w:val="00C41A0A"/>
    <w:rsid w:val="00C41A66"/>
    <w:rsid w:val="00C41F31"/>
    <w:rsid w:val="00C420D1"/>
    <w:rsid w:val="00C4215E"/>
    <w:rsid w:val="00C424A2"/>
    <w:rsid w:val="00C426E4"/>
    <w:rsid w:val="00C42712"/>
    <w:rsid w:val="00C42799"/>
    <w:rsid w:val="00C427CD"/>
    <w:rsid w:val="00C42812"/>
    <w:rsid w:val="00C42824"/>
    <w:rsid w:val="00C42853"/>
    <w:rsid w:val="00C42905"/>
    <w:rsid w:val="00C42A95"/>
    <w:rsid w:val="00C42CED"/>
    <w:rsid w:val="00C42E23"/>
    <w:rsid w:val="00C42F23"/>
    <w:rsid w:val="00C42F4F"/>
    <w:rsid w:val="00C42FC2"/>
    <w:rsid w:val="00C430F9"/>
    <w:rsid w:val="00C43437"/>
    <w:rsid w:val="00C4346E"/>
    <w:rsid w:val="00C43786"/>
    <w:rsid w:val="00C4391C"/>
    <w:rsid w:val="00C43955"/>
    <w:rsid w:val="00C439E9"/>
    <w:rsid w:val="00C43AC9"/>
    <w:rsid w:val="00C43C63"/>
    <w:rsid w:val="00C43E14"/>
    <w:rsid w:val="00C43F4A"/>
    <w:rsid w:val="00C44040"/>
    <w:rsid w:val="00C440FE"/>
    <w:rsid w:val="00C4439E"/>
    <w:rsid w:val="00C44517"/>
    <w:rsid w:val="00C446A8"/>
    <w:rsid w:val="00C448B0"/>
    <w:rsid w:val="00C44A54"/>
    <w:rsid w:val="00C44AD8"/>
    <w:rsid w:val="00C44BF9"/>
    <w:rsid w:val="00C44C3F"/>
    <w:rsid w:val="00C44D49"/>
    <w:rsid w:val="00C44DDC"/>
    <w:rsid w:val="00C44FC4"/>
    <w:rsid w:val="00C4501E"/>
    <w:rsid w:val="00C45179"/>
    <w:rsid w:val="00C4517D"/>
    <w:rsid w:val="00C45197"/>
    <w:rsid w:val="00C451E4"/>
    <w:rsid w:val="00C45216"/>
    <w:rsid w:val="00C454E9"/>
    <w:rsid w:val="00C455FF"/>
    <w:rsid w:val="00C4560E"/>
    <w:rsid w:val="00C45654"/>
    <w:rsid w:val="00C456EB"/>
    <w:rsid w:val="00C45764"/>
    <w:rsid w:val="00C4577D"/>
    <w:rsid w:val="00C458CB"/>
    <w:rsid w:val="00C45A63"/>
    <w:rsid w:val="00C45BF9"/>
    <w:rsid w:val="00C45C2A"/>
    <w:rsid w:val="00C45DE6"/>
    <w:rsid w:val="00C45E6B"/>
    <w:rsid w:val="00C45EBF"/>
    <w:rsid w:val="00C4603F"/>
    <w:rsid w:val="00C460AA"/>
    <w:rsid w:val="00C461D3"/>
    <w:rsid w:val="00C461FF"/>
    <w:rsid w:val="00C46304"/>
    <w:rsid w:val="00C46538"/>
    <w:rsid w:val="00C466C7"/>
    <w:rsid w:val="00C46B8B"/>
    <w:rsid w:val="00C46D60"/>
    <w:rsid w:val="00C46EBE"/>
    <w:rsid w:val="00C470F3"/>
    <w:rsid w:val="00C47385"/>
    <w:rsid w:val="00C47409"/>
    <w:rsid w:val="00C4745B"/>
    <w:rsid w:val="00C475EF"/>
    <w:rsid w:val="00C47610"/>
    <w:rsid w:val="00C47642"/>
    <w:rsid w:val="00C4789E"/>
    <w:rsid w:val="00C478ED"/>
    <w:rsid w:val="00C50238"/>
    <w:rsid w:val="00C502A1"/>
    <w:rsid w:val="00C50348"/>
    <w:rsid w:val="00C50528"/>
    <w:rsid w:val="00C50800"/>
    <w:rsid w:val="00C509B4"/>
    <w:rsid w:val="00C509D7"/>
    <w:rsid w:val="00C50C63"/>
    <w:rsid w:val="00C50D23"/>
    <w:rsid w:val="00C50DB7"/>
    <w:rsid w:val="00C50EBA"/>
    <w:rsid w:val="00C50EC0"/>
    <w:rsid w:val="00C50ECB"/>
    <w:rsid w:val="00C50FA7"/>
    <w:rsid w:val="00C50FB5"/>
    <w:rsid w:val="00C510DA"/>
    <w:rsid w:val="00C51189"/>
    <w:rsid w:val="00C512B7"/>
    <w:rsid w:val="00C5136D"/>
    <w:rsid w:val="00C51522"/>
    <w:rsid w:val="00C5157D"/>
    <w:rsid w:val="00C51825"/>
    <w:rsid w:val="00C5182B"/>
    <w:rsid w:val="00C51938"/>
    <w:rsid w:val="00C519FB"/>
    <w:rsid w:val="00C51C40"/>
    <w:rsid w:val="00C51DDA"/>
    <w:rsid w:val="00C5218C"/>
    <w:rsid w:val="00C5230E"/>
    <w:rsid w:val="00C52373"/>
    <w:rsid w:val="00C52594"/>
    <w:rsid w:val="00C5289E"/>
    <w:rsid w:val="00C52924"/>
    <w:rsid w:val="00C52936"/>
    <w:rsid w:val="00C5295C"/>
    <w:rsid w:val="00C52B18"/>
    <w:rsid w:val="00C52D34"/>
    <w:rsid w:val="00C52F74"/>
    <w:rsid w:val="00C5306E"/>
    <w:rsid w:val="00C530C0"/>
    <w:rsid w:val="00C530F5"/>
    <w:rsid w:val="00C5345D"/>
    <w:rsid w:val="00C534B4"/>
    <w:rsid w:val="00C53500"/>
    <w:rsid w:val="00C53567"/>
    <w:rsid w:val="00C536D6"/>
    <w:rsid w:val="00C53A85"/>
    <w:rsid w:val="00C53AAB"/>
    <w:rsid w:val="00C53D7D"/>
    <w:rsid w:val="00C53DA5"/>
    <w:rsid w:val="00C53E16"/>
    <w:rsid w:val="00C53E65"/>
    <w:rsid w:val="00C53EE2"/>
    <w:rsid w:val="00C53EF4"/>
    <w:rsid w:val="00C53F57"/>
    <w:rsid w:val="00C540FF"/>
    <w:rsid w:val="00C5436D"/>
    <w:rsid w:val="00C543B8"/>
    <w:rsid w:val="00C544E2"/>
    <w:rsid w:val="00C54840"/>
    <w:rsid w:val="00C54890"/>
    <w:rsid w:val="00C549CC"/>
    <w:rsid w:val="00C54D2E"/>
    <w:rsid w:val="00C54F44"/>
    <w:rsid w:val="00C54F52"/>
    <w:rsid w:val="00C552A3"/>
    <w:rsid w:val="00C55453"/>
    <w:rsid w:val="00C55550"/>
    <w:rsid w:val="00C55664"/>
    <w:rsid w:val="00C5566D"/>
    <w:rsid w:val="00C556A5"/>
    <w:rsid w:val="00C5582F"/>
    <w:rsid w:val="00C55B1D"/>
    <w:rsid w:val="00C55D9F"/>
    <w:rsid w:val="00C561B8"/>
    <w:rsid w:val="00C56312"/>
    <w:rsid w:val="00C5648D"/>
    <w:rsid w:val="00C56598"/>
    <w:rsid w:val="00C5675D"/>
    <w:rsid w:val="00C568E8"/>
    <w:rsid w:val="00C569B2"/>
    <w:rsid w:val="00C569CC"/>
    <w:rsid w:val="00C56AA8"/>
    <w:rsid w:val="00C56BF7"/>
    <w:rsid w:val="00C56DC9"/>
    <w:rsid w:val="00C56DCD"/>
    <w:rsid w:val="00C56E23"/>
    <w:rsid w:val="00C56EA7"/>
    <w:rsid w:val="00C56F42"/>
    <w:rsid w:val="00C57112"/>
    <w:rsid w:val="00C572BF"/>
    <w:rsid w:val="00C57333"/>
    <w:rsid w:val="00C5736E"/>
    <w:rsid w:val="00C57430"/>
    <w:rsid w:val="00C57B50"/>
    <w:rsid w:val="00C57C02"/>
    <w:rsid w:val="00C57C91"/>
    <w:rsid w:val="00C600C8"/>
    <w:rsid w:val="00C60200"/>
    <w:rsid w:val="00C60232"/>
    <w:rsid w:val="00C60235"/>
    <w:rsid w:val="00C6040F"/>
    <w:rsid w:val="00C6043F"/>
    <w:rsid w:val="00C6068A"/>
    <w:rsid w:val="00C606F4"/>
    <w:rsid w:val="00C6071D"/>
    <w:rsid w:val="00C607FD"/>
    <w:rsid w:val="00C6087E"/>
    <w:rsid w:val="00C609C0"/>
    <w:rsid w:val="00C60A56"/>
    <w:rsid w:val="00C60B21"/>
    <w:rsid w:val="00C60C46"/>
    <w:rsid w:val="00C60EB1"/>
    <w:rsid w:val="00C614F7"/>
    <w:rsid w:val="00C616B6"/>
    <w:rsid w:val="00C6173A"/>
    <w:rsid w:val="00C619E4"/>
    <w:rsid w:val="00C61AE0"/>
    <w:rsid w:val="00C61B20"/>
    <w:rsid w:val="00C61B2B"/>
    <w:rsid w:val="00C61DB1"/>
    <w:rsid w:val="00C61EC2"/>
    <w:rsid w:val="00C62066"/>
    <w:rsid w:val="00C622D9"/>
    <w:rsid w:val="00C6232C"/>
    <w:rsid w:val="00C62357"/>
    <w:rsid w:val="00C62407"/>
    <w:rsid w:val="00C62622"/>
    <w:rsid w:val="00C62BFE"/>
    <w:rsid w:val="00C62ECA"/>
    <w:rsid w:val="00C62F69"/>
    <w:rsid w:val="00C62F83"/>
    <w:rsid w:val="00C63041"/>
    <w:rsid w:val="00C63078"/>
    <w:rsid w:val="00C630E3"/>
    <w:rsid w:val="00C633DC"/>
    <w:rsid w:val="00C636B1"/>
    <w:rsid w:val="00C63708"/>
    <w:rsid w:val="00C637CA"/>
    <w:rsid w:val="00C638A9"/>
    <w:rsid w:val="00C639FF"/>
    <w:rsid w:val="00C63B83"/>
    <w:rsid w:val="00C63C4B"/>
    <w:rsid w:val="00C63C8D"/>
    <w:rsid w:val="00C64028"/>
    <w:rsid w:val="00C6405D"/>
    <w:rsid w:val="00C640C8"/>
    <w:rsid w:val="00C641EA"/>
    <w:rsid w:val="00C6446B"/>
    <w:rsid w:val="00C6446D"/>
    <w:rsid w:val="00C64592"/>
    <w:rsid w:val="00C64722"/>
    <w:rsid w:val="00C6483D"/>
    <w:rsid w:val="00C64847"/>
    <w:rsid w:val="00C64C07"/>
    <w:rsid w:val="00C64EF6"/>
    <w:rsid w:val="00C64FFA"/>
    <w:rsid w:val="00C65030"/>
    <w:rsid w:val="00C651CB"/>
    <w:rsid w:val="00C651DC"/>
    <w:rsid w:val="00C65225"/>
    <w:rsid w:val="00C65270"/>
    <w:rsid w:val="00C65296"/>
    <w:rsid w:val="00C656A5"/>
    <w:rsid w:val="00C65797"/>
    <w:rsid w:val="00C6581F"/>
    <w:rsid w:val="00C65AF4"/>
    <w:rsid w:val="00C65D7D"/>
    <w:rsid w:val="00C65F05"/>
    <w:rsid w:val="00C65F24"/>
    <w:rsid w:val="00C66027"/>
    <w:rsid w:val="00C660D0"/>
    <w:rsid w:val="00C66318"/>
    <w:rsid w:val="00C66407"/>
    <w:rsid w:val="00C6665D"/>
    <w:rsid w:val="00C66ACA"/>
    <w:rsid w:val="00C66B1E"/>
    <w:rsid w:val="00C66BBB"/>
    <w:rsid w:val="00C66F4E"/>
    <w:rsid w:val="00C6707C"/>
    <w:rsid w:val="00C671FC"/>
    <w:rsid w:val="00C6764E"/>
    <w:rsid w:val="00C676F2"/>
    <w:rsid w:val="00C67708"/>
    <w:rsid w:val="00C67774"/>
    <w:rsid w:val="00C6778E"/>
    <w:rsid w:val="00C6783D"/>
    <w:rsid w:val="00C67980"/>
    <w:rsid w:val="00C67ADB"/>
    <w:rsid w:val="00C67E9A"/>
    <w:rsid w:val="00C700A1"/>
    <w:rsid w:val="00C70177"/>
    <w:rsid w:val="00C7017E"/>
    <w:rsid w:val="00C70222"/>
    <w:rsid w:val="00C70226"/>
    <w:rsid w:val="00C70280"/>
    <w:rsid w:val="00C70724"/>
    <w:rsid w:val="00C70943"/>
    <w:rsid w:val="00C70A01"/>
    <w:rsid w:val="00C70A4C"/>
    <w:rsid w:val="00C70A93"/>
    <w:rsid w:val="00C70CFD"/>
    <w:rsid w:val="00C710B9"/>
    <w:rsid w:val="00C71155"/>
    <w:rsid w:val="00C71191"/>
    <w:rsid w:val="00C712D0"/>
    <w:rsid w:val="00C7138A"/>
    <w:rsid w:val="00C71512"/>
    <w:rsid w:val="00C716BA"/>
    <w:rsid w:val="00C7170E"/>
    <w:rsid w:val="00C71778"/>
    <w:rsid w:val="00C7179C"/>
    <w:rsid w:val="00C71926"/>
    <w:rsid w:val="00C71979"/>
    <w:rsid w:val="00C71999"/>
    <w:rsid w:val="00C71B6D"/>
    <w:rsid w:val="00C71DEB"/>
    <w:rsid w:val="00C720EF"/>
    <w:rsid w:val="00C72222"/>
    <w:rsid w:val="00C7224B"/>
    <w:rsid w:val="00C722D2"/>
    <w:rsid w:val="00C7233A"/>
    <w:rsid w:val="00C723C0"/>
    <w:rsid w:val="00C72476"/>
    <w:rsid w:val="00C7249D"/>
    <w:rsid w:val="00C7273E"/>
    <w:rsid w:val="00C7274A"/>
    <w:rsid w:val="00C72751"/>
    <w:rsid w:val="00C72764"/>
    <w:rsid w:val="00C72787"/>
    <w:rsid w:val="00C7281B"/>
    <w:rsid w:val="00C7285F"/>
    <w:rsid w:val="00C728D5"/>
    <w:rsid w:val="00C72A44"/>
    <w:rsid w:val="00C72AC2"/>
    <w:rsid w:val="00C72C6A"/>
    <w:rsid w:val="00C72DB3"/>
    <w:rsid w:val="00C72F93"/>
    <w:rsid w:val="00C72FF1"/>
    <w:rsid w:val="00C7312E"/>
    <w:rsid w:val="00C731D0"/>
    <w:rsid w:val="00C73252"/>
    <w:rsid w:val="00C73306"/>
    <w:rsid w:val="00C73364"/>
    <w:rsid w:val="00C736FD"/>
    <w:rsid w:val="00C739D5"/>
    <w:rsid w:val="00C73A1D"/>
    <w:rsid w:val="00C73C57"/>
    <w:rsid w:val="00C73CE1"/>
    <w:rsid w:val="00C73DB9"/>
    <w:rsid w:val="00C73DF8"/>
    <w:rsid w:val="00C73E0B"/>
    <w:rsid w:val="00C7440F"/>
    <w:rsid w:val="00C74610"/>
    <w:rsid w:val="00C7479A"/>
    <w:rsid w:val="00C747B3"/>
    <w:rsid w:val="00C749E3"/>
    <w:rsid w:val="00C74ABA"/>
    <w:rsid w:val="00C74C76"/>
    <w:rsid w:val="00C74C90"/>
    <w:rsid w:val="00C74CF0"/>
    <w:rsid w:val="00C75000"/>
    <w:rsid w:val="00C75037"/>
    <w:rsid w:val="00C75206"/>
    <w:rsid w:val="00C75334"/>
    <w:rsid w:val="00C75410"/>
    <w:rsid w:val="00C7566D"/>
    <w:rsid w:val="00C756E1"/>
    <w:rsid w:val="00C75BC9"/>
    <w:rsid w:val="00C75D13"/>
    <w:rsid w:val="00C75DC1"/>
    <w:rsid w:val="00C760AC"/>
    <w:rsid w:val="00C760D2"/>
    <w:rsid w:val="00C762A3"/>
    <w:rsid w:val="00C763AA"/>
    <w:rsid w:val="00C7660B"/>
    <w:rsid w:val="00C76B44"/>
    <w:rsid w:val="00C76B8A"/>
    <w:rsid w:val="00C76D36"/>
    <w:rsid w:val="00C76DF2"/>
    <w:rsid w:val="00C77012"/>
    <w:rsid w:val="00C7701C"/>
    <w:rsid w:val="00C7705B"/>
    <w:rsid w:val="00C77064"/>
    <w:rsid w:val="00C7716F"/>
    <w:rsid w:val="00C7741D"/>
    <w:rsid w:val="00C77535"/>
    <w:rsid w:val="00C776DB"/>
    <w:rsid w:val="00C77842"/>
    <w:rsid w:val="00C77A55"/>
    <w:rsid w:val="00C77B69"/>
    <w:rsid w:val="00C77CD2"/>
    <w:rsid w:val="00C77D6C"/>
    <w:rsid w:val="00C77DC9"/>
    <w:rsid w:val="00C800C5"/>
    <w:rsid w:val="00C800FD"/>
    <w:rsid w:val="00C8086B"/>
    <w:rsid w:val="00C80A27"/>
    <w:rsid w:val="00C80B70"/>
    <w:rsid w:val="00C80D78"/>
    <w:rsid w:val="00C80EFA"/>
    <w:rsid w:val="00C80FD3"/>
    <w:rsid w:val="00C813C9"/>
    <w:rsid w:val="00C813D0"/>
    <w:rsid w:val="00C8159A"/>
    <w:rsid w:val="00C8166D"/>
    <w:rsid w:val="00C818D8"/>
    <w:rsid w:val="00C819AF"/>
    <w:rsid w:val="00C819EA"/>
    <w:rsid w:val="00C81A67"/>
    <w:rsid w:val="00C81AEC"/>
    <w:rsid w:val="00C81B82"/>
    <w:rsid w:val="00C81C1C"/>
    <w:rsid w:val="00C81C87"/>
    <w:rsid w:val="00C81DA9"/>
    <w:rsid w:val="00C81E82"/>
    <w:rsid w:val="00C823FB"/>
    <w:rsid w:val="00C826E6"/>
    <w:rsid w:val="00C82795"/>
    <w:rsid w:val="00C82874"/>
    <w:rsid w:val="00C8288E"/>
    <w:rsid w:val="00C829B6"/>
    <w:rsid w:val="00C82A26"/>
    <w:rsid w:val="00C82C8E"/>
    <w:rsid w:val="00C82EC5"/>
    <w:rsid w:val="00C830EB"/>
    <w:rsid w:val="00C830FE"/>
    <w:rsid w:val="00C83131"/>
    <w:rsid w:val="00C83676"/>
    <w:rsid w:val="00C838B3"/>
    <w:rsid w:val="00C8395E"/>
    <w:rsid w:val="00C839D0"/>
    <w:rsid w:val="00C83A0B"/>
    <w:rsid w:val="00C83A84"/>
    <w:rsid w:val="00C83B7E"/>
    <w:rsid w:val="00C83B9D"/>
    <w:rsid w:val="00C83C30"/>
    <w:rsid w:val="00C83C9B"/>
    <w:rsid w:val="00C83DCF"/>
    <w:rsid w:val="00C83FAE"/>
    <w:rsid w:val="00C84144"/>
    <w:rsid w:val="00C84167"/>
    <w:rsid w:val="00C8420A"/>
    <w:rsid w:val="00C844D8"/>
    <w:rsid w:val="00C845ED"/>
    <w:rsid w:val="00C846A6"/>
    <w:rsid w:val="00C846AB"/>
    <w:rsid w:val="00C848C0"/>
    <w:rsid w:val="00C84905"/>
    <w:rsid w:val="00C84A29"/>
    <w:rsid w:val="00C84B62"/>
    <w:rsid w:val="00C84BA5"/>
    <w:rsid w:val="00C8509F"/>
    <w:rsid w:val="00C85264"/>
    <w:rsid w:val="00C852DE"/>
    <w:rsid w:val="00C85431"/>
    <w:rsid w:val="00C854EC"/>
    <w:rsid w:val="00C855F2"/>
    <w:rsid w:val="00C85629"/>
    <w:rsid w:val="00C856A8"/>
    <w:rsid w:val="00C85A81"/>
    <w:rsid w:val="00C85BD1"/>
    <w:rsid w:val="00C85BD6"/>
    <w:rsid w:val="00C85D6A"/>
    <w:rsid w:val="00C85DA6"/>
    <w:rsid w:val="00C85DB3"/>
    <w:rsid w:val="00C862D7"/>
    <w:rsid w:val="00C86576"/>
    <w:rsid w:val="00C86B13"/>
    <w:rsid w:val="00C86B27"/>
    <w:rsid w:val="00C86C67"/>
    <w:rsid w:val="00C86DC4"/>
    <w:rsid w:val="00C86F2F"/>
    <w:rsid w:val="00C8704D"/>
    <w:rsid w:val="00C87383"/>
    <w:rsid w:val="00C874A2"/>
    <w:rsid w:val="00C87642"/>
    <w:rsid w:val="00C8796D"/>
    <w:rsid w:val="00C87A53"/>
    <w:rsid w:val="00C9001F"/>
    <w:rsid w:val="00C900B9"/>
    <w:rsid w:val="00C900EB"/>
    <w:rsid w:val="00C901E7"/>
    <w:rsid w:val="00C90418"/>
    <w:rsid w:val="00C906B5"/>
    <w:rsid w:val="00C908A8"/>
    <w:rsid w:val="00C90A36"/>
    <w:rsid w:val="00C90B52"/>
    <w:rsid w:val="00C90C6F"/>
    <w:rsid w:val="00C90CD4"/>
    <w:rsid w:val="00C90D06"/>
    <w:rsid w:val="00C90F85"/>
    <w:rsid w:val="00C91056"/>
    <w:rsid w:val="00C91075"/>
    <w:rsid w:val="00C91087"/>
    <w:rsid w:val="00C912EA"/>
    <w:rsid w:val="00C91358"/>
    <w:rsid w:val="00C914A1"/>
    <w:rsid w:val="00C9166E"/>
    <w:rsid w:val="00C9191D"/>
    <w:rsid w:val="00C91AEC"/>
    <w:rsid w:val="00C91CB8"/>
    <w:rsid w:val="00C91F23"/>
    <w:rsid w:val="00C920C9"/>
    <w:rsid w:val="00C9231C"/>
    <w:rsid w:val="00C92743"/>
    <w:rsid w:val="00C927F4"/>
    <w:rsid w:val="00C9281B"/>
    <w:rsid w:val="00C928BE"/>
    <w:rsid w:val="00C9296C"/>
    <w:rsid w:val="00C92A07"/>
    <w:rsid w:val="00C93026"/>
    <w:rsid w:val="00C932AA"/>
    <w:rsid w:val="00C93315"/>
    <w:rsid w:val="00C93490"/>
    <w:rsid w:val="00C934ED"/>
    <w:rsid w:val="00C93606"/>
    <w:rsid w:val="00C936E5"/>
    <w:rsid w:val="00C9398B"/>
    <w:rsid w:val="00C939B1"/>
    <w:rsid w:val="00C93A37"/>
    <w:rsid w:val="00C93A38"/>
    <w:rsid w:val="00C93B14"/>
    <w:rsid w:val="00C93B7C"/>
    <w:rsid w:val="00C93CA1"/>
    <w:rsid w:val="00C93DCF"/>
    <w:rsid w:val="00C93E4A"/>
    <w:rsid w:val="00C93EB1"/>
    <w:rsid w:val="00C94282"/>
    <w:rsid w:val="00C94326"/>
    <w:rsid w:val="00C943F6"/>
    <w:rsid w:val="00C9465E"/>
    <w:rsid w:val="00C946C1"/>
    <w:rsid w:val="00C946CA"/>
    <w:rsid w:val="00C94903"/>
    <w:rsid w:val="00C94940"/>
    <w:rsid w:val="00C949CA"/>
    <w:rsid w:val="00C949F1"/>
    <w:rsid w:val="00C94B1D"/>
    <w:rsid w:val="00C94B1F"/>
    <w:rsid w:val="00C94B41"/>
    <w:rsid w:val="00C94C5D"/>
    <w:rsid w:val="00C94EED"/>
    <w:rsid w:val="00C94F4E"/>
    <w:rsid w:val="00C95090"/>
    <w:rsid w:val="00C95277"/>
    <w:rsid w:val="00C9527C"/>
    <w:rsid w:val="00C95ACD"/>
    <w:rsid w:val="00C95AE6"/>
    <w:rsid w:val="00C95D66"/>
    <w:rsid w:val="00C96263"/>
    <w:rsid w:val="00C96467"/>
    <w:rsid w:val="00C965E6"/>
    <w:rsid w:val="00C96676"/>
    <w:rsid w:val="00C9681E"/>
    <w:rsid w:val="00C96919"/>
    <w:rsid w:val="00C96A46"/>
    <w:rsid w:val="00C96ABE"/>
    <w:rsid w:val="00C96C04"/>
    <w:rsid w:val="00C96F34"/>
    <w:rsid w:val="00C96F79"/>
    <w:rsid w:val="00C970AC"/>
    <w:rsid w:val="00C97175"/>
    <w:rsid w:val="00C971FE"/>
    <w:rsid w:val="00C972E7"/>
    <w:rsid w:val="00C979A0"/>
    <w:rsid w:val="00C979B2"/>
    <w:rsid w:val="00C979E4"/>
    <w:rsid w:val="00C97A37"/>
    <w:rsid w:val="00C97CEA"/>
    <w:rsid w:val="00C97EFB"/>
    <w:rsid w:val="00CA00EC"/>
    <w:rsid w:val="00CA01C3"/>
    <w:rsid w:val="00CA0238"/>
    <w:rsid w:val="00CA035A"/>
    <w:rsid w:val="00CA03B3"/>
    <w:rsid w:val="00CA0461"/>
    <w:rsid w:val="00CA04AD"/>
    <w:rsid w:val="00CA06F8"/>
    <w:rsid w:val="00CA07D3"/>
    <w:rsid w:val="00CA0845"/>
    <w:rsid w:val="00CA0928"/>
    <w:rsid w:val="00CA0B04"/>
    <w:rsid w:val="00CA0B3B"/>
    <w:rsid w:val="00CA0C6A"/>
    <w:rsid w:val="00CA0CA7"/>
    <w:rsid w:val="00CA0E7F"/>
    <w:rsid w:val="00CA0F09"/>
    <w:rsid w:val="00CA0FB6"/>
    <w:rsid w:val="00CA1012"/>
    <w:rsid w:val="00CA1077"/>
    <w:rsid w:val="00CA1078"/>
    <w:rsid w:val="00CA1146"/>
    <w:rsid w:val="00CA131C"/>
    <w:rsid w:val="00CA13DD"/>
    <w:rsid w:val="00CA1403"/>
    <w:rsid w:val="00CA1411"/>
    <w:rsid w:val="00CA16D7"/>
    <w:rsid w:val="00CA1B60"/>
    <w:rsid w:val="00CA1BBA"/>
    <w:rsid w:val="00CA1DE8"/>
    <w:rsid w:val="00CA1EB0"/>
    <w:rsid w:val="00CA205A"/>
    <w:rsid w:val="00CA205F"/>
    <w:rsid w:val="00CA2074"/>
    <w:rsid w:val="00CA20E7"/>
    <w:rsid w:val="00CA2357"/>
    <w:rsid w:val="00CA2668"/>
    <w:rsid w:val="00CA2B98"/>
    <w:rsid w:val="00CA2D6E"/>
    <w:rsid w:val="00CA2E4F"/>
    <w:rsid w:val="00CA30AD"/>
    <w:rsid w:val="00CA31C8"/>
    <w:rsid w:val="00CA33B0"/>
    <w:rsid w:val="00CA33D6"/>
    <w:rsid w:val="00CA342D"/>
    <w:rsid w:val="00CA3523"/>
    <w:rsid w:val="00CA36C0"/>
    <w:rsid w:val="00CA36E2"/>
    <w:rsid w:val="00CA37B7"/>
    <w:rsid w:val="00CA3943"/>
    <w:rsid w:val="00CA3B74"/>
    <w:rsid w:val="00CA3BB4"/>
    <w:rsid w:val="00CA3F16"/>
    <w:rsid w:val="00CA4160"/>
    <w:rsid w:val="00CA4258"/>
    <w:rsid w:val="00CA4310"/>
    <w:rsid w:val="00CA43F5"/>
    <w:rsid w:val="00CA44AC"/>
    <w:rsid w:val="00CA4555"/>
    <w:rsid w:val="00CA47D2"/>
    <w:rsid w:val="00CA47D9"/>
    <w:rsid w:val="00CA489A"/>
    <w:rsid w:val="00CA4B1A"/>
    <w:rsid w:val="00CA4D9F"/>
    <w:rsid w:val="00CA5025"/>
    <w:rsid w:val="00CA503C"/>
    <w:rsid w:val="00CA509B"/>
    <w:rsid w:val="00CA50EB"/>
    <w:rsid w:val="00CA5182"/>
    <w:rsid w:val="00CA5258"/>
    <w:rsid w:val="00CA547D"/>
    <w:rsid w:val="00CA54A7"/>
    <w:rsid w:val="00CA55EF"/>
    <w:rsid w:val="00CA5802"/>
    <w:rsid w:val="00CA592C"/>
    <w:rsid w:val="00CA5B9C"/>
    <w:rsid w:val="00CA5C0B"/>
    <w:rsid w:val="00CA5D47"/>
    <w:rsid w:val="00CA5D6D"/>
    <w:rsid w:val="00CA5DDA"/>
    <w:rsid w:val="00CA5E15"/>
    <w:rsid w:val="00CA5EC6"/>
    <w:rsid w:val="00CA5F0C"/>
    <w:rsid w:val="00CA5FE7"/>
    <w:rsid w:val="00CA6036"/>
    <w:rsid w:val="00CA6192"/>
    <w:rsid w:val="00CA61D9"/>
    <w:rsid w:val="00CA62BA"/>
    <w:rsid w:val="00CA639B"/>
    <w:rsid w:val="00CA63ED"/>
    <w:rsid w:val="00CA65E8"/>
    <w:rsid w:val="00CA664C"/>
    <w:rsid w:val="00CA667A"/>
    <w:rsid w:val="00CA66F6"/>
    <w:rsid w:val="00CA6764"/>
    <w:rsid w:val="00CA67C6"/>
    <w:rsid w:val="00CA6A12"/>
    <w:rsid w:val="00CA6AD4"/>
    <w:rsid w:val="00CA6C5C"/>
    <w:rsid w:val="00CA6CE8"/>
    <w:rsid w:val="00CA6E1E"/>
    <w:rsid w:val="00CA72E4"/>
    <w:rsid w:val="00CA7336"/>
    <w:rsid w:val="00CA7366"/>
    <w:rsid w:val="00CA7592"/>
    <w:rsid w:val="00CA76CB"/>
    <w:rsid w:val="00CA77D6"/>
    <w:rsid w:val="00CA7815"/>
    <w:rsid w:val="00CA78FA"/>
    <w:rsid w:val="00CA7A01"/>
    <w:rsid w:val="00CA7AF2"/>
    <w:rsid w:val="00CA7B83"/>
    <w:rsid w:val="00CA7E73"/>
    <w:rsid w:val="00CA7EA9"/>
    <w:rsid w:val="00CA7FBA"/>
    <w:rsid w:val="00CB0098"/>
    <w:rsid w:val="00CB0141"/>
    <w:rsid w:val="00CB023A"/>
    <w:rsid w:val="00CB03ED"/>
    <w:rsid w:val="00CB04A7"/>
    <w:rsid w:val="00CB0736"/>
    <w:rsid w:val="00CB0879"/>
    <w:rsid w:val="00CB0910"/>
    <w:rsid w:val="00CB0A9A"/>
    <w:rsid w:val="00CB0CA8"/>
    <w:rsid w:val="00CB1040"/>
    <w:rsid w:val="00CB10A7"/>
    <w:rsid w:val="00CB117C"/>
    <w:rsid w:val="00CB1566"/>
    <w:rsid w:val="00CB161C"/>
    <w:rsid w:val="00CB17ED"/>
    <w:rsid w:val="00CB1AD8"/>
    <w:rsid w:val="00CB1DED"/>
    <w:rsid w:val="00CB21C5"/>
    <w:rsid w:val="00CB25AC"/>
    <w:rsid w:val="00CB2709"/>
    <w:rsid w:val="00CB27AD"/>
    <w:rsid w:val="00CB2809"/>
    <w:rsid w:val="00CB28AA"/>
    <w:rsid w:val="00CB2B29"/>
    <w:rsid w:val="00CB2BF7"/>
    <w:rsid w:val="00CB2D2C"/>
    <w:rsid w:val="00CB2EAA"/>
    <w:rsid w:val="00CB2F13"/>
    <w:rsid w:val="00CB2F95"/>
    <w:rsid w:val="00CB32F0"/>
    <w:rsid w:val="00CB3320"/>
    <w:rsid w:val="00CB375B"/>
    <w:rsid w:val="00CB377C"/>
    <w:rsid w:val="00CB3AAE"/>
    <w:rsid w:val="00CB3BB9"/>
    <w:rsid w:val="00CB3BCC"/>
    <w:rsid w:val="00CB40D1"/>
    <w:rsid w:val="00CB41C0"/>
    <w:rsid w:val="00CB4225"/>
    <w:rsid w:val="00CB430A"/>
    <w:rsid w:val="00CB4494"/>
    <w:rsid w:val="00CB44DA"/>
    <w:rsid w:val="00CB45BF"/>
    <w:rsid w:val="00CB47E7"/>
    <w:rsid w:val="00CB4945"/>
    <w:rsid w:val="00CB4A10"/>
    <w:rsid w:val="00CB4A66"/>
    <w:rsid w:val="00CB4B88"/>
    <w:rsid w:val="00CB4E89"/>
    <w:rsid w:val="00CB4EC8"/>
    <w:rsid w:val="00CB4EE4"/>
    <w:rsid w:val="00CB5041"/>
    <w:rsid w:val="00CB525D"/>
    <w:rsid w:val="00CB52DE"/>
    <w:rsid w:val="00CB531F"/>
    <w:rsid w:val="00CB53A0"/>
    <w:rsid w:val="00CB540B"/>
    <w:rsid w:val="00CB5568"/>
    <w:rsid w:val="00CB561E"/>
    <w:rsid w:val="00CB58AF"/>
    <w:rsid w:val="00CB5A33"/>
    <w:rsid w:val="00CB5B4A"/>
    <w:rsid w:val="00CB5CA2"/>
    <w:rsid w:val="00CB5D5E"/>
    <w:rsid w:val="00CB5F07"/>
    <w:rsid w:val="00CB5FDB"/>
    <w:rsid w:val="00CB6059"/>
    <w:rsid w:val="00CB60B3"/>
    <w:rsid w:val="00CB60CF"/>
    <w:rsid w:val="00CB626A"/>
    <w:rsid w:val="00CB62D1"/>
    <w:rsid w:val="00CB62EF"/>
    <w:rsid w:val="00CB6376"/>
    <w:rsid w:val="00CB645C"/>
    <w:rsid w:val="00CB65E4"/>
    <w:rsid w:val="00CB66F1"/>
    <w:rsid w:val="00CB6850"/>
    <w:rsid w:val="00CB68B6"/>
    <w:rsid w:val="00CB693C"/>
    <w:rsid w:val="00CB69E1"/>
    <w:rsid w:val="00CB6A4C"/>
    <w:rsid w:val="00CB6CA6"/>
    <w:rsid w:val="00CB6CC3"/>
    <w:rsid w:val="00CB6E88"/>
    <w:rsid w:val="00CB6EFA"/>
    <w:rsid w:val="00CB70F7"/>
    <w:rsid w:val="00CB7103"/>
    <w:rsid w:val="00CB7145"/>
    <w:rsid w:val="00CB723B"/>
    <w:rsid w:val="00CB7484"/>
    <w:rsid w:val="00CB74A8"/>
    <w:rsid w:val="00CB759D"/>
    <w:rsid w:val="00CB75E9"/>
    <w:rsid w:val="00CB787C"/>
    <w:rsid w:val="00CB7A53"/>
    <w:rsid w:val="00CB7A80"/>
    <w:rsid w:val="00CB7F01"/>
    <w:rsid w:val="00CB7F75"/>
    <w:rsid w:val="00CC017A"/>
    <w:rsid w:val="00CC019F"/>
    <w:rsid w:val="00CC0228"/>
    <w:rsid w:val="00CC02BC"/>
    <w:rsid w:val="00CC0340"/>
    <w:rsid w:val="00CC0591"/>
    <w:rsid w:val="00CC07CB"/>
    <w:rsid w:val="00CC0860"/>
    <w:rsid w:val="00CC0924"/>
    <w:rsid w:val="00CC0B8B"/>
    <w:rsid w:val="00CC0C22"/>
    <w:rsid w:val="00CC0C7C"/>
    <w:rsid w:val="00CC0CCC"/>
    <w:rsid w:val="00CC0D31"/>
    <w:rsid w:val="00CC0FBC"/>
    <w:rsid w:val="00CC0FFA"/>
    <w:rsid w:val="00CC1187"/>
    <w:rsid w:val="00CC142F"/>
    <w:rsid w:val="00CC14AD"/>
    <w:rsid w:val="00CC15B3"/>
    <w:rsid w:val="00CC188B"/>
    <w:rsid w:val="00CC18A9"/>
    <w:rsid w:val="00CC1B2E"/>
    <w:rsid w:val="00CC1C44"/>
    <w:rsid w:val="00CC1E3A"/>
    <w:rsid w:val="00CC1FB7"/>
    <w:rsid w:val="00CC2150"/>
    <w:rsid w:val="00CC2169"/>
    <w:rsid w:val="00CC24F9"/>
    <w:rsid w:val="00CC260C"/>
    <w:rsid w:val="00CC268B"/>
    <w:rsid w:val="00CC288B"/>
    <w:rsid w:val="00CC28D7"/>
    <w:rsid w:val="00CC2A94"/>
    <w:rsid w:val="00CC2CD4"/>
    <w:rsid w:val="00CC2CE8"/>
    <w:rsid w:val="00CC2CF9"/>
    <w:rsid w:val="00CC2E50"/>
    <w:rsid w:val="00CC2EB2"/>
    <w:rsid w:val="00CC2F84"/>
    <w:rsid w:val="00CC3010"/>
    <w:rsid w:val="00CC328A"/>
    <w:rsid w:val="00CC3530"/>
    <w:rsid w:val="00CC360B"/>
    <w:rsid w:val="00CC3681"/>
    <w:rsid w:val="00CC38AF"/>
    <w:rsid w:val="00CC3904"/>
    <w:rsid w:val="00CC3946"/>
    <w:rsid w:val="00CC3A11"/>
    <w:rsid w:val="00CC3CE6"/>
    <w:rsid w:val="00CC3D84"/>
    <w:rsid w:val="00CC3EF3"/>
    <w:rsid w:val="00CC3FBA"/>
    <w:rsid w:val="00CC4283"/>
    <w:rsid w:val="00CC4737"/>
    <w:rsid w:val="00CC47D1"/>
    <w:rsid w:val="00CC4B34"/>
    <w:rsid w:val="00CC4B3A"/>
    <w:rsid w:val="00CC520A"/>
    <w:rsid w:val="00CC53C5"/>
    <w:rsid w:val="00CC5452"/>
    <w:rsid w:val="00CC54B2"/>
    <w:rsid w:val="00CC5520"/>
    <w:rsid w:val="00CC57E4"/>
    <w:rsid w:val="00CC5820"/>
    <w:rsid w:val="00CC58A7"/>
    <w:rsid w:val="00CC58B2"/>
    <w:rsid w:val="00CC592E"/>
    <w:rsid w:val="00CC59D9"/>
    <w:rsid w:val="00CC5AC6"/>
    <w:rsid w:val="00CC5AD5"/>
    <w:rsid w:val="00CC5C60"/>
    <w:rsid w:val="00CC5D9A"/>
    <w:rsid w:val="00CC5E43"/>
    <w:rsid w:val="00CC601E"/>
    <w:rsid w:val="00CC60A5"/>
    <w:rsid w:val="00CC61DF"/>
    <w:rsid w:val="00CC62DA"/>
    <w:rsid w:val="00CC6469"/>
    <w:rsid w:val="00CC6488"/>
    <w:rsid w:val="00CC64E5"/>
    <w:rsid w:val="00CC6529"/>
    <w:rsid w:val="00CC6781"/>
    <w:rsid w:val="00CC67E3"/>
    <w:rsid w:val="00CC6825"/>
    <w:rsid w:val="00CC6944"/>
    <w:rsid w:val="00CC6A19"/>
    <w:rsid w:val="00CC6AA0"/>
    <w:rsid w:val="00CC6C81"/>
    <w:rsid w:val="00CC6CB8"/>
    <w:rsid w:val="00CC6DAF"/>
    <w:rsid w:val="00CC6E5C"/>
    <w:rsid w:val="00CC6E99"/>
    <w:rsid w:val="00CC70D9"/>
    <w:rsid w:val="00CC71A8"/>
    <w:rsid w:val="00CC71B0"/>
    <w:rsid w:val="00CC721F"/>
    <w:rsid w:val="00CC749B"/>
    <w:rsid w:val="00CC7565"/>
    <w:rsid w:val="00CC761F"/>
    <w:rsid w:val="00CC76A6"/>
    <w:rsid w:val="00CC7793"/>
    <w:rsid w:val="00CC78A7"/>
    <w:rsid w:val="00CC7970"/>
    <w:rsid w:val="00CC7973"/>
    <w:rsid w:val="00CC79DD"/>
    <w:rsid w:val="00CC7AC3"/>
    <w:rsid w:val="00CC7ACC"/>
    <w:rsid w:val="00CC7BA8"/>
    <w:rsid w:val="00CC7DAA"/>
    <w:rsid w:val="00CC7E49"/>
    <w:rsid w:val="00CC7E52"/>
    <w:rsid w:val="00CC7FC0"/>
    <w:rsid w:val="00CD034E"/>
    <w:rsid w:val="00CD03E1"/>
    <w:rsid w:val="00CD048F"/>
    <w:rsid w:val="00CD0558"/>
    <w:rsid w:val="00CD06DD"/>
    <w:rsid w:val="00CD086A"/>
    <w:rsid w:val="00CD08B6"/>
    <w:rsid w:val="00CD090B"/>
    <w:rsid w:val="00CD09EE"/>
    <w:rsid w:val="00CD0ADE"/>
    <w:rsid w:val="00CD0DFA"/>
    <w:rsid w:val="00CD0E91"/>
    <w:rsid w:val="00CD15F9"/>
    <w:rsid w:val="00CD17F3"/>
    <w:rsid w:val="00CD1892"/>
    <w:rsid w:val="00CD1B11"/>
    <w:rsid w:val="00CD1C49"/>
    <w:rsid w:val="00CD1EB7"/>
    <w:rsid w:val="00CD1FD1"/>
    <w:rsid w:val="00CD2239"/>
    <w:rsid w:val="00CD22EF"/>
    <w:rsid w:val="00CD23F4"/>
    <w:rsid w:val="00CD28D4"/>
    <w:rsid w:val="00CD2900"/>
    <w:rsid w:val="00CD2A99"/>
    <w:rsid w:val="00CD2BCF"/>
    <w:rsid w:val="00CD2BE3"/>
    <w:rsid w:val="00CD2C0A"/>
    <w:rsid w:val="00CD2C59"/>
    <w:rsid w:val="00CD2C5B"/>
    <w:rsid w:val="00CD2E5C"/>
    <w:rsid w:val="00CD2F85"/>
    <w:rsid w:val="00CD2FD4"/>
    <w:rsid w:val="00CD308C"/>
    <w:rsid w:val="00CD31BC"/>
    <w:rsid w:val="00CD33B4"/>
    <w:rsid w:val="00CD34F6"/>
    <w:rsid w:val="00CD3770"/>
    <w:rsid w:val="00CD3876"/>
    <w:rsid w:val="00CD3B40"/>
    <w:rsid w:val="00CD3BA9"/>
    <w:rsid w:val="00CD3CFA"/>
    <w:rsid w:val="00CD3E12"/>
    <w:rsid w:val="00CD4051"/>
    <w:rsid w:val="00CD40E3"/>
    <w:rsid w:val="00CD41C7"/>
    <w:rsid w:val="00CD4505"/>
    <w:rsid w:val="00CD45D6"/>
    <w:rsid w:val="00CD45EF"/>
    <w:rsid w:val="00CD4741"/>
    <w:rsid w:val="00CD48B0"/>
    <w:rsid w:val="00CD497C"/>
    <w:rsid w:val="00CD497D"/>
    <w:rsid w:val="00CD4C0A"/>
    <w:rsid w:val="00CD4D34"/>
    <w:rsid w:val="00CD4E92"/>
    <w:rsid w:val="00CD4F90"/>
    <w:rsid w:val="00CD52E5"/>
    <w:rsid w:val="00CD53C5"/>
    <w:rsid w:val="00CD55A0"/>
    <w:rsid w:val="00CD5752"/>
    <w:rsid w:val="00CD5A32"/>
    <w:rsid w:val="00CD5AEF"/>
    <w:rsid w:val="00CD5CED"/>
    <w:rsid w:val="00CD5D7F"/>
    <w:rsid w:val="00CD5D96"/>
    <w:rsid w:val="00CD5EE2"/>
    <w:rsid w:val="00CD5F3B"/>
    <w:rsid w:val="00CD5F5B"/>
    <w:rsid w:val="00CD61C6"/>
    <w:rsid w:val="00CD6331"/>
    <w:rsid w:val="00CD660D"/>
    <w:rsid w:val="00CD678E"/>
    <w:rsid w:val="00CD6934"/>
    <w:rsid w:val="00CD6B31"/>
    <w:rsid w:val="00CD6D59"/>
    <w:rsid w:val="00CD6D74"/>
    <w:rsid w:val="00CD6FD0"/>
    <w:rsid w:val="00CD70EF"/>
    <w:rsid w:val="00CD7175"/>
    <w:rsid w:val="00CD73DB"/>
    <w:rsid w:val="00CD743D"/>
    <w:rsid w:val="00CD7519"/>
    <w:rsid w:val="00CD7797"/>
    <w:rsid w:val="00CD798D"/>
    <w:rsid w:val="00CD7AA5"/>
    <w:rsid w:val="00CD7B4B"/>
    <w:rsid w:val="00CD7CE3"/>
    <w:rsid w:val="00CD7D31"/>
    <w:rsid w:val="00CD7DB8"/>
    <w:rsid w:val="00CD7DBB"/>
    <w:rsid w:val="00CD7EE9"/>
    <w:rsid w:val="00CD7FAA"/>
    <w:rsid w:val="00CE019C"/>
    <w:rsid w:val="00CE01A3"/>
    <w:rsid w:val="00CE0249"/>
    <w:rsid w:val="00CE035F"/>
    <w:rsid w:val="00CE04F9"/>
    <w:rsid w:val="00CE0664"/>
    <w:rsid w:val="00CE0822"/>
    <w:rsid w:val="00CE0867"/>
    <w:rsid w:val="00CE093C"/>
    <w:rsid w:val="00CE09C7"/>
    <w:rsid w:val="00CE0B1D"/>
    <w:rsid w:val="00CE0BF6"/>
    <w:rsid w:val="00CE115C"/>
    <w:rsid w:val="00CE1282"/>
    <w:rsid w:val="00CE12B3"/>
    <w:rsid w:val="00CE13DE"/>
    <w:rsid w:val="00CE1963"/>
    <w:rsid w:val="00CE1A38"/>
    <w:rsid w:val="00CE1CE4"/>
    <w:rsid w:val="00CE1E70"/>
    <w:rsid w:val="00CE1EDE"/>
    <w:rsid w:val="00CE1F27"/>
    <w:rsid w:val="00CE20E7"/>
    <w:rsid w:val="00CE2335"/>
    <w:rsid w:val="00CE2434"/>
    <w:rsid w:val="00CE251C"/>
    <w:rsid w:val="00CE282E"/>
    <w:rsid w:val="00CE2886"/>
    <w:rsid w:val="00CE2EBC"/>
    <w:rsid w:val="00CE3695"/>
    <w:rsid w:val="00CE37E9"/>
    <w:rsid w:val="00CE38D7"/>
    <w:rsid w:val="00CE3928"/>
    <w:rsid w:val="00CE3C78"/>
    <w:rsid w:val="00CE3C81"/>
    <w:rsid w:val="00CE3F8F"/>
    <w:rsid w:val="00CE4195"/>
    <w:rsid w:val="00CE425E"/>
    <w:rsid w:val="00CE457C"/>
    <w:rsid w:val="00CE45F3"/>
    <w:rsid w:val="00CE47B8"/>
    <w:rsid w:val="00CE4888"/>
    <w:rsid w:val="00CE48EE"/>
    <w:rsid w:val="00CE4981"/>
    <w:rsid w:val="00CE4A8E"/>
    <w:rsid w:val="00CE4AC2"/>
    <w:rsid w:val="00CE4B07"/>
    <w:rsid w:val="00CE4BBB"/>
    <w:rsid w:val="00CE4BFF"/>
    <w:rsid w:val="00CE4CA5"/>
    <w:rsid w:val="00CE4CE3"/>
    <w:rsid w:val="00CE4CFB"/>
    <w:rsid w:val="00CE4DD7"/>
    <w:rsid w:val="00CE4E89"/>
    <w:rsid w:val="00CE4F1C"/>
    <w:rsid w:val="00CE4F1D"/>
    <w:rsid w:val="00CE51E7"/>
    <w:rsid w:val="00CE527D"/>
    <w:rsid w:val="00CE533C"/>
    <w:rsid w:val="00CE53CC"/>
    <w:rsid w:val="00CE5514"/>
    <w:rsid w:val="00CE586A"/>
    <w:rsid w:val="00CE5887"/>
    <w:rsid w:val="00CE58E6"/>
    <w:rsid w:val="00CE5AE0"/>
    <w:rsid w:val="00CE5C41"/>
    <w:rsid w:val="00CE5E1A"/>
    <w:rsid w:val="00CE5E40"/>
    <w:rsid w:val="00CE5F4F"/>
    <w:rsid w:val="00CE5F6F"/>
    <w:rsid w:val="00CE64E1"/>
    <w:rsid w:val="00CE6984"/>
    <w:rsid w:val="00CE6A21"/>
    <w:rsid w:val="00CE6B42"/>
    <w:rsid w:val="00CE6BC3"/>
    <w:rsid w:val="00CE6D74"/>
    <w:rsid w:val="00CE6DAA"/>
    <w:rsid w:val="00CE6EDC"/>
    <w:rsid w:val="00CE6EF1"/>
    <w:rsid w:val="00CE6F19"/>
    <w:rsid w:val="00CE72ED"/>
    <w:rsid w:val="00CE7398"/>
    <w:rsid w:val="00CE7404"/>
    <w:rsid w:val="00CE7506"/>
    <w:rsid w:val="00CE7515"/>
    <w:rsid w:val="00CE7721"/>
    <w:rsid w:val="00CE7794"/>
    <w:rsid w:val="00CE77A9"/>
    <w:rsid w:val="00CE79ED"/>
    <w:rsid w:val="00CE7AB5"/>
    <w:rsid w:val="00CE7D6F"/>
    <w:rsid w:val="00CE7F27"/>
    <w:rsid w:val="00CE7F67"/>
    <w:rsid w:val="00CE7FA2"/>
    <w:rsid w:val="00CE7FB7"/>
    <w:rsid w:val="00CF00AA"/>
    <w:rsid w:val="00CF031B"/>
    <w:rsid w:val="00CF0340"/>
    <w:rsid w:val="00CF0406"/>
    <w:rsid w:val="00CF06F1"/>
    <w:rsid w:val="00CF06FF"/>
    <w:rsid w:val="00CF0840"/>
    <w:rsid w:val="00CF090A"/>
    <w:rsid w:val="00CF0937"/>
    <w:rsid w:val="00CF09F6"/>
    <w:rsid w:val="00CF0E3D"/>
    <w:rsid w:val="00CF1173"/>
    <w:rsid w:val="00CF14A4"/>
    <w:rsid w:val="00CF1550"/>
    <w:rsid w:val="00CF1612"/>
    <w:rsid w:val="00CF17B1"/>
    <w:rsid w:val="00CF1BB2"/>
    <w:rsid w:val="00CF1DE8"/>
    <w:rsid w:val="00CF1E05"/>
    <w:rsid w:val="00CF1F0B"/>
    <w:rsid w:val="00CF1FC2"/>
    <w:rsid w:val="00CF20D0"/>
    <w:rsid w:val="00CF21C6"/>
    <w:rsid w:val="00CF231F"/>
    <w:rsid w:val="00CF2351"/>
    <w:rsid w:val="00CF244B"/>
    <w:rsid w:val="00CF2452"/>
    <w:rsid w:val="00CF2461"/>
    <w:rsid w:val="00CF248D"/>
    <w:rsid w:val="00CF2565"/>
    <w:rsid w:val="00CF25DC"/>
    <w:rsid w:val="00CF2682"/>
    <w:rsid w:val="00CF2AF4"/>
    <w:rsid w:val="00CF2C58"/>
    <w:rsid w:val="00CF3153"/>
    <w:rsid w:val="00CF3342"/>
    <w:rsid w:val="00CF348B"/>
    <w:rsid w:val="00CF34A2"/>
    <w:rsid w:val="00CF358B"/>
    <w:rsid w:val="00CF3650"/>
    <w:rsid w:val="00CF36C1"/>
    <w:rsid w:val="00CF36E4"/>
    <w:rsid w:val="00CF3947"/>
    <w:rsid w:val="00CF4516"/>
    <w:rsid w:val="00CF466F"/>
    <w:rsid w:val="00CF4708"/>
    <w:rsid w:val="00CF4796"/>
    <w:rsid w:val="00CF493A"/>
    <w:rsid w:val="00CF4A77"/>
    <w:rsid w:val="00CF4C5C"/>
    <w:rsid w:val="00CF4D73"/>
    <w:rsid w:val="00CF4DAF"/>
    <w:rsid w:val="00CF4E2D"/>
    <w:rsid w:val="00CF4F92"/>
    <w:rsid w:val="00CF4F96"/>
    <w:rsid w:val="00CF5074"/>
    <w:rsid w:val="00CF52C5"/>
    <w:rsid w:val="00CF5364"/>
    <w:rsid w:val="00CF5534"/>
    <w:rsid w:val="00CF5538"/>
    <w:rsid w:val="00CF57DF"/>
    <w:rsid w:val="00CF583E"/>
    <w:rsid w:val="00CF5933"/>
    <w:rsid w:val="00CF599B"/>
    <w:rsid w:val="00CF59C9"/>
    <w:rsid w:val="00CF5C7A"/>
    <w:rsid w:val="00CF5D34"/>
    <w:rsid w:val="00CF5D7B"/>
    <w:rsid w:val="00CF5F1E"/>
    <w:rsid w:val="00CF5FF6"/>
    <w:rsid w:val="00CF60DE"/>
    <w:rsid w:val="00CF60FC"/>
    <w:rsid w:val="00CF6106"/>
    <w:rsid w:val="00CF627F"/>
    <w:rsid w:val="00CF6368"/>
    <w:rsid w:val="00CF6519"/>
    <w:rsid w:val="00CF65B5"/>
    <w:rsid w:val="00CF65D3"/>
    <w:rsid w:val="00CF660E"/>
    <w:rsid w:val="00CF665C"/>
    <w:rsid w:val="00CF6810"/>
    <w:rsid w:val="00CF68B3"/>
    <w:rsid w:val="00CF68EF"/>
    <w:rsid w:val="00CF692E"/>
    <w:rsid w:val="00CF6A9F"/>
    <w:rsid w:val="00CF6AE5"/>
    <w:rsid w:val="00CF6BC2"/>
    <w:rsid w:val="00CF6D68"/>
    <w:rsid w:val="00CF6D7F"/>
    <w:rsid w:val="00CF6F15"/>
    <w:rsid w:val="00CF6FE9"/>
    <w:rsid w:val="00CF7036"/>
    <w:rsid w:val="00CF71B9"/>
    <w:rsid w:val="00CF728C"/>
    <w:rsid w:val="00CF732F"/>
    <w:rsid w:val="00CF740D"/>
    <w:rsid w:val="00CF7A8E"/>
    <w:rsid w:val="00CF7B87"/>
    <w:rsid w:val="00CF7FF3"/>
    <w:rsid w:val="00D000C5"/>
    <w:rsid w:val="00D00602"/>
    <w:rsid w:val="00D006C8"/>
    <w:rsid w:val="00D0073E"/>
    <w:rsid w:val="00D0086C"/>
    <w:rsid w:val="00D00D08"/>
    <w:rsid w:val="00D00F8C"/>
    <w:rsid w:val="00D012D3"/>
    <w:rsid w:val="00D013C6"/>
    <w:rsid w:val="00D0142A"/>
    <w:rsid w:val="00D01792"/>
    <w:rsid w:val="00D01A19"/>
    <w:rsid w:val="00D01AAE"/>
    <w:rsid w:val="00D01B46"/>
    <w:rsid w:val="00D01B47"/>
    <w:rsid w:val="00D01BC4"/>
    <w:rsid w:val="00D01BF9"/>
    <w:rsid w:val="00D01CD1"/>
    <w:rsid w:val="00D01CDA"/>
    <w:rsid w:val="00D01FC5"/>
    <w:rsid w:val="00D02062"/>
    <w:rsid w:val="00D02196"/>
    <w:rsid w:val="00D0227F"/>
    <w:rsid w:val="00D02311"/>
    <w:rsid w:val="00D02404"/>
    <w:rsid w:val="00D02662"/>
    <w:rsid w:val="00D026CC"/>
    <w:rsid w:val="00D02839"/>
    <w:rsid w:val="00D02B17"/>
    <w:rsid w:val="00D02B3E"/>
    <w:rsid w:val="00D02BEB"/>
    <w:rsid w:val="00D02BF1"/>
    <w:rsid w:val="00D02EC5"/>
    <w:rsid w:val="00D02EF9"/>
    <w:rsid w:val="00D032F8"/>
    <w:rsid w:val="00D03598"/>
    <w:rsid w:val="00D03749"/>
    <w:rsid w:val="00D0384F"/>
    <w:rsid w:val="00D038B4"/>
    <w:rsid w:val="00D0394A"/>
    <w:rsid w:val="00D039C1"/>
    <w:rsid w:val="00D04284"/>
    <w:rsid w:val="00D04772"/>
    <w:rsid w:val="00D0491B"/>
    <w:rsid w:val="00D04979"/>
    <w:rsid w:val="00D049F0"/>
    <w:rsid w:val="00D04B07"/>
    <w:rsid w:val="00D04BBD"/>
    <w:rsid w:val="00D04CDE"/>
    <w:rsid w:val="00D04CFF"/>
    <w:rsid w:val="00D04DB2"/>
    <w:rsid w:val="00D04EAE"/>
    <w:rsid w:val="00D04EF0"/>
    <w:rsid w:val="00D050B2"/>
    <w:rsid w:val="00D050E4"/>
    <w:rsid w:val="00D0536D"/>
    <w:rsid w:val="00D053D9"/>
    <w:rsid w:val="00D054A0"/>
    <w:rsid w:val="00D055BF"/>
    <w:rsid w:val="00D0567F"/>
    <w:rsid w:val="00D05886"/>
    <w:rsid w:val="00D059A6"/>
    <w:rsid w:val="00D05A9C"/>
    <w:rsid w:val="00D05B01"/>
    <w:rsid w:val="00D05B07"/>
    <w:rsid w:val="00D05C3A"/>
    <w:rsid w:val="00D05D39"/>
    <w:rsid w:val="00D05ED0"/>
    <w:rsid w:val="00D06326"/>
    <w:rsid w:val="00D06616"/>
    <w:rsid w:val="00D066B5"/>
    <w:rsid w:val="00D067BD"/>
    <w:rsid w:val="00D06AEB"/>
    <w:rsid w:val="00D06CCE"/>
    <w:rsid w:val="00D06D03"/>
    <w:rsid w:val="00D06F21"/>
    <w:rsid w:val="00D07127"/>
    <w:rsid w:val="00D0713E"/>
    <w:rsid w:val="00D0721D"/>
    <w:rsid w:val="00D072D1"/>
    <w:rsid w:val="00D072F2"/>
    <w:rsid w:val="00D07358"/>
    <w:rsid w:val="00D073C4"/>
    <w:rsid w:val="00D073C5"/>
    <w:rsid w:val="00D07462"/>
    <w:rsid w:val="00D077A1"/>
    <w:rsid w:val="00D077D2"/>
    <w:rsid w:val="00D07806"/>
    <w:rsid w:val="00D078C0"/>
    <w:rsid w:val="00D078F4"/>
    <w:rsid w:val="00D07932"/>
    <w:rsid w:val="00D07968"/>
    <w:rsid w:val="00D07A78"/>
    <w:rsid w:val="00D07A7D"/>
    <w:rsid w:val="00D07C5B"/>
    <w:rsid w:val="00D07CF2"/>
    <w:rsid w:val="00D07DA9"/>
    <w:rsid w:val="00D1002E"/>
    <w:rsid w:val="00D10251"/>
    <w:rsid w:val="00D10378"/>
    <w:rsid w:val="00D105AE"/>
    <w:rsid w:val="00D105E1"/>
    <w:rsid w:val="00D1066A"/>
    <w:rsid w:val="00D107BF"/>
    <w:rsid w:val="00D10855"/>
    <w:rsid w:val="00D10A37"/>
    <w:rsid w:val="00D10B2F"/>
    <w:rsid w:val="00D10C39"/>
    <w:rsid w:val="00D10D2D"/>
    <w:rsid w:val="00D10DA5"/>
    <w:rsid w:val="00D10DA9"/>
    <w:rsid w:val="00D112EE"/>
    <w:rsid w:val="00D11355"/>
    <w:rsid w:val="00D113A6"/>
    <w:rsid w:val="00D113D8"/>
    <w:rsid w:val="00D114C5"/>
    <w:rsid w:val="00D116DC"/>
    <w:rsid w:val="00D1173A"/>
    <w:rsid w:val="00D1187A"/>
    <w:rsid w:val="00D11895"/>
    <w:rsid w:val="00D118A6"/>
    <w:rsid w:val="00D118D6"/>
    <w:rsid w:val="00D11B79"/>
    <w:rsid w:val="00D11D0D"/>
    <w:rsid w:val="00D11DC8"/>
    <w:rsid w:val="00D11F75"/>
    <w:rsid w:val="00D12208"/>
    <w:rsid w:val="00D12217"/>
    <w:rsid w:val="00D12352"/>
    <w:rsid w:val="00D12ACC"/>
    <w:rsid w:val="00D12B79"/>
    <w:rsid w:val="00D12B88"/>
    <w:rsid w:val="00D12C08"/>
    <w:rsid w:val="00D12D71"/>
    <w:rsid w:val="00D12F75"/>
    <w:rsid w:val="00D130D4"/>
    <w:rsid w:val="00D131B2"/>
    <w:rsid w:val="00D131CA"/>
    <w:rsid w:val="00D1335F"/>
    <w:rsid w:val="00D13611"/>
    <w:rsid w:val="00D13667"/>
    <w:rsid w:val="00D1368D"/>
    <w:rsid w:val="00D13781"/>
    <w:rsid w:val="00D139A0"/>
    <w:rsid w:val="00D13B1E"/>
    <w:rsid w:val="00D13B27"/>
    <w:rsid w:val="00D13C5D"/>
    <w:rsid w:val="00D13E40"/>
    <w:rsid w:val="00D13F19"/>
    <w:rsid w:val="00D140EB"/>
    <w:rsid w:val="00D14125"/>
    <w:rsid w:val="00D141CB"/>
    <w:rsid w:val="00D14227"/>
    <w:rsid w:val="00D14405"/>
    <w:rsid w:val="00D1478C"/>
    <w:rsid w:val="00D14B03"/>
    <w:rsid w:val="00D14CE5"/>
    <w:rsid w:val="00D14E68"/>
    <w:rsid w:val="00D14F51"/>
    <w:rsid w:val="00D151DD"/>
    <w:rsid w:val="00D151F7"/>
    <w:rsid w:val="00D15310"/>
    <w:rsid w:val="00D1547D"/>
    <w:rsid w:val="00D1548E"/>
    <w:rsid w:val="00D1553A"/>
    <w:rsid w:val="00D1561E"/>
    <w:rsid w:val="00D157D5"/>
    <w:rsid w:val="00D157F0"/>
    <w:rsid w:val="00D15965"/>
    <w:rsid w:val="00D159EB"/>
    <w:rsid w:val="00D15B41"/>
    <w:rsid w:val="00D15D9B"/>
    <w:rsid w:val="00D15E3C"/>
    <w:rsid w:val="00D15E9E"/>
    <w:rsid w:val="00D15FE7"/>
    <w:rsid w:val="00D15FED"/>
    <w:rsid w:val="00D160A3"/>
    <w:rsid w:val="00D161B7"/>
    <w:rsid w:val="00D16243"/>
    <w:rsid w:val="00D1645B"/>
    <w:rsid w:val="00D164E7"/>
    <w:rsid w:val="00D16527"/>
    <w:rsid w:val="00D16720"/>
    <w:rsid w:val="00D16763"/>
    <w:rsid w:val="00D168C4"/>
    <w:rsid w:val="00D168FB"/>
    <w:rsid w:val="00D169F1"/>
    <w:rsid w:val="00D16A71"/>
    <w:rsid w:val="00D16E3E"/>
    <w:rsid w:val="00D1712C"/>
    <w:rsid w:val="00D171C1"/>
    <w:rsid w:val="00D171D3"/>
    <w:rsid w:val="00D17246"/>
    <w:rsid w:val="00D172F4"/>
    <w:rsid w:val="00D175F8"/>
    <w:rsid w:val="00D1769C"/>
    <w:rsid w:val="00D17785"/>
    <w:rsid w:val="00D17853"/>
    <w:rsid w:val="00D178A4"/>
    <w:rsid w:val="00D1796C"/>
    <w:rsid w:val="00D17B11"/>
    <w:rsid w:val="00D17B3A"/>
    <w:rsid w:val="00D17D99"/>
    <w:rsid w:val="00D17E79"/>
    <w:rsid w:val="00D17EE2"/>
    <w:rsid w:val="00D202D5"/>
    <w:rsid w:val="00D203EF"/>
    <w:rsid w:val="00D2048E"/>
    <w:rsid w:val="00D207D8"/>
    <w:rsid w:val="00D20E70"/>
    <w:rsid w:val="00D20FD9"/>
    <w:rsid w:val="00D20FDF"/>
    <w:rsid w:val="00D21194"/>
    <w:rsid w:val="00D21261"/>
    <w:rsid w:val="00D214E3"/>
    <w:rsid w:val="00D215D3"/>
    <w:rsid w:val="00D215D5"/>
    <w:rsid w:val="00D216BE"/>
    <w:rsid w:val="00D2188A"/>
    <w:rsid w:val="00D21923"/>
    <w:rsid w:val="00D21958"/>
    <w:rsid w:val="00D219AC"/>
    <w:rsid w:val="00D219D1"/>
    <w:rsid w:val="00D21C6A"/>
    <w:rsid w:val="00D21CBB"/>
    <w:rsid w:val="00D21D5D"/>
    <w:rsid w:val="00D21ECC"/>
    <w:rsid w:val="00D21F65"/>
    <w:rsid w:val="00D22065"/>
    <w:rsid w:val="00D22099"/>
    <w:rsid w:val="00D221F6"/>
    <w:rsid w:val="00D2227E"/>
    <w:rsid w:val="00D22401"/>
    <w:rsid w:val="00D22453"/>
    <w:rsid w:val="00D224BD"/>
    <w:rsid w:val="00D226BF"/>
    <w:rsid w:val="00D228B8"/>
    <w:rsid w:val="00D22991"/>
    <w:rsid w:val="00D22B3C"/>
    <w:rsid w:val="00D22CD8"/>
    <w:rsid w:val="00D22DA1"/>
    <w:rsid w:val="00D22EF1"/>
    <w:rsid w:val="00D22F74"/>
    <w:rsid w:val="00D2346F"/>
    <w:rsid w:val="00D235C8"/>
    <w:rsid w:val="00D23636"/>
    <w:rsid w:val="00D2375F"/>
    <w:rsid w:val="00D23CDA"/>
    <w:rsid w:val="00D23E84"/>
    <w:rsid w:val="00D2408D"/>
    <w:rsid w:val="00D2414C"/>
    <w:rsid w:val="00D2425B"/>
    <w:rsid w:val="00D24358"/>
    <w:rsid w:val="00D2437C"/>
    <w:rsid w:val="00D24382"/>
    <w:rsid w:val="00D248EC"/>
    <w:rsid w:val="00D24AFD"/>
    <w:rsid w:val="00D24C31"/>
    <w:rsid w:val="00D24C4A"/>
    <w:rsid w:val="00D24D15"/>
    <w:rsid w:val="00D24D6F"/>
    <w:rsid w:val="00D24DB0"/>
    <w:rsid w:val="00D24DBB"/>
    <w:rsid w:val="00D24EBD"/>
    <w:rsid w:val="00D24FF6"/>
    <w:rsid w:val="00D253DB"/>
    <w:rsid w:val="00D254B5"/>
    <w:rsid w:val="00D256FA"/>
    <w:rsid w:val="00D257F6"/>
    <w:rsid w:val="00D259E5"/>
    <w:rsid w:val="00D25A80"/>
    <w:rsid w:val="00D25B2D"/>
    <w:rsid w:val="00D25CF0"/>
    <w:rsid w:val="00D26874"/>
    <w:rsid w:val="00D268B5"/>
    <w:rsid w:val="00D2691D"/>
    <w:rsid w:val="00D26D03"/>
    <w:rsid w:val="00D26D1D"/>
    <w:rsid w:val="00D26E78"/>
    <w:rsid w:val="00D26EE1"/>
    <w:rsid w:val="00D26F42"/>
    <w:rsid w:val="00D27052"/>
    <w:rsid w:val="00D270A9"/>
    <w:rsid w:val="00D271BC"/>
    <w:rsid w:val="00D27270"/>
    <w:rsid w:val="00D274F4"/>
    <w:rsid w:val="00D27872"/>
    <w:rsid w:val="00D279CD"/>
    <w:rsid w:val="00D27EF5"/>
    <w:rsid w:val="00D3023A"/>
    <w:rsid w:val="00D302DA"/>
    <w:rsid w:val="00D30447"/>
    <w:rsid w:val="00D3052B"/>
    <w:rsid w:val="00D305BA"/>
    <w:rsid w:val="00D305BC"/>
    <w:rsid w:val="00D306EF"/>
    <w:rsid w:val="00D30AED"/>
    <w:rsid w:val="00D30C17"/>
    <w:rsid w:val="00D30E9F"/>
    <w:rsid w:val="00D30F92"/>
    <w:rsid w:val="00D31126"/>
    <w:rsid w:val="00D311E1"/>
    <w:rsid w:val="00D312E1"/>
    <w:rsid w:val="00D31523"/>
    <w:rsid w:val="00D3154C"/>
    <w:rsid w:val="00D31AAA"/>
    <w:rsid w:val="00D31BDB"/>
    <w:rsid w:val="00D31C0A"/>
    <w:rsid w:val="00D31E96"/>
    <w:rsid w:val="00D320A1"/>
    <w:rsid w:val="00D320E3"/>
    <w:rsid w:val="00D32152"/>
    <w:rsid w:val="00D321BC"/>
    <w:rsid w:val="00D321F3"/>
    <w:rsid w:val="00D32376"/>
    <w:rsid w:val="00D3243E"/>
    <w:rsid w:val="00D3293D"/>
    <w:rsid w:val="00D32AB6"/>
    <w:rsid w:val="00D32D26"/>
    <w:rsid w:val="00D32DB3"/>
    <w:rsid w:val="00D32DD3"/>
    <w:rsid w:val="00D32EE3"/>
    <w:rsid w:val="00D330A0"/>
    <w:rsid w:val="00D33243"/>
    <w:rsid w:val="00D333B1"/>
    <w:rsid w:val="00D334AC"/>
    <w:rsid w:val="00D334E4"/>
    <w:rsid w:val="00D3351F"/>
    <w:rsid w:val="00D339B5"/>
    <w:rsid w:val="00D33A0E"/>
    <w:rsid w:val="00D33B04"/>
    <w:rsid w:val="00D33DB1"/>
    <w:rsid w:val="00D33DF1"/>
    <w:rsid w:val="00D33EB2"/>
    <w:rsid w:val="00D341C1"/>
    <w:rsid w:val="00D34273"/>
    <w:rsid w:val="00D34328"/>
    <w:rsid w:val="00D34372"/>
    <w:rsid w:val="00D34409"/>
    <w:rsid w:val="00D344EF"/>
    <w:rsid w:val="00D34581"/>
    <w:rsid w:val="00D34A61"/>
    <w:rsid w:val="00D34CFF"/>
    <w:rsid w:val="00D34DCF"/>
    <w:rsid w:val="00D34E3D"/>
    <w:rsid w:val="00D34FA1"/>
    <w:rsid w:val="00D34FD0"/>
    <w:rsid w:val="00D351C1"/>
    <w:rsid w:val="00D352DE"/>
    <w:rsid w:val="00D3532C"/>
    <w:rsid w:val="00D35400"/>
    <w:rsid w:val="00D3570B"/>
    <w:rsid w:val="00D357B5"/>
    <w:rsid w:val="00D35812"/>
    <w:rsid w:val="00D359A7"/>
    <w:rsid w:val="00D35B9E"/>
    <w:rsid w:val="00D35C66"/>
    <w:rsid w:val="00D35D57"/>
    <w:rsid w:val="00D35D8A"/>
    <w:rsid w:val="00D35E50"/>
    <w:rsid w:val="00D35F16"/>
    <w:rsid w:val="00D361F9"/>
    <w:rsid w:val="00D36354"/>
    <w:rsid w:val="00D36401"/>
    <w:rsid w:val="00D3644F"/>
    <w:rsid w:val="00D36507"/>
    <w:rsid w:val="00D36645"/>
    <w:rsid w:val="00D3668A"/>
    <w:rsid w:val="00D36731"/>
    <w:rsid w:val="00D3692E"/>
    <w:rsid w:val="00D36C4F"/>
    <w:rsid w:val="00D36D0A"/>
    <w:rsid w:val="00D36D32"/>
    <w:rsid w:val="00D36D42"/>
    <w:rsid w:val="00D36E45"/>
    <w:rsid w:val="00D36EE6"/>
    <w:rsid w:val="00D36EEB"/>
    <w:rsid w:val="00D37127"/>
    <w:rsid w:val="00D372DA"/>
    <w:rsid w:val="00D374BF"/>
    <w:rsid w:val="00D374DD"/>
    <w:rsid w:val="00D377BB"/>
    <w:rsid w:val="00D377DC"/>
    <w:rsid w:val="00D37BEF"/>
    <w:rsid w:val="00D37C21"/>
    <w:rsid w:val="00D37C4F"/>
    <w:rsid w:val="00D37E9D"/>
    <w:rsid w:val="00D37EF0"/>
    <w:rsid w:val="00D4008F"/>
    <w:rsid w:val="00D4018F"/>
    <w:rsid w:val="00D40321"/>
    <w:rsid w:val="00D40470"/>
    <w:rsid w:val="00D405E7"/>
    <w:rsid w:val="00D40659"/>
    <w:rsid w:val="00D406D0"/>
    <w:rsid w:val="00D40712"/>
    <w:rsid w:val="00D4089A"/>
    <w:rsid w:val="00D40958"/>
    <w:rsid w:val="00D40AAF"/>
    <w:rsid w:val="00D40B91"/>
    <w:rsid w:val="00D40C3B"/>
    <w:rsid w:val="00D40CF6"/>
    <w:rsid w:val="00D40D67"/>
    <w:rsid w:val="00D41025"/>
    <w:rsid w:val="00D41128"/>
    <w:rsid w:val="00D41230"/>
    <w:rsid w:val="00D415B5"/>
    <w:rsid w:val="00D415BA"/>
    <w:rsid w:val="00D416BB"/>
    <w:rsid w:val="00D41A16"/>
    <w:rsid w:val="00D41AF9"/>
    <w:rsid w:val="00D41DA9"/>
    <w:rsid w:val="00D41DCF"/>
    <w:rsid w:val="00D423AD"/>
    <w:rsid w:val="00D423B8"/>
    <w:rsid w:val="00D424F8"/>
    <w:rsid w:val="00D42DD6"/>
    <w:rsid w:val="00D42EA5"/>
    <w:rsid w:val="00D42FC4"/>
    <w:rsid w:val="00D43082"/>
    <w:rsid w:val="00D432EE"/>
    <w:rsid w:val="00D4359D"/>
    <w:rsid w:val="00D435C6"/>
    <w:rsid w:val="00D43653"/>
    <w:rsid w:val="00D437BD"/>
    <w:rsid w:val="00D43869"/>
    <w:rsid w:val="00D438BA"/>
    <w:rsid w:val="00D438ED"/>
    <w:rsid w:val="00D43B65"/>
    <w:rsid w:val="00D43C9B"/>
    <w:rsid w:val="00D43DCE"/>
    <w:rsid w:val="00D43DD1"/>
    <w:rsid w:val="00D43E9F"/>
    <w:rsid w:val="00D44006"/>
    <w:rsid w:val="00D440EA"/>
    <w:rsid w:val="00D44203"/>
    <w:rsid w:val="00D443EA"/>
    <w:rsid w:val="00D4440F"/>
    <w:rsid w:val="00D4455E"/>
    <w:rsid w:val="00D446E6"/>
    <w:rsid w:val="00D4487E"/>
    <w:rsid w:val="00D44A90"/>
    <w:rsid w:val="00D44C20"/>
    <w:rsid w:val="00D44E85"/>
    <w:rsid w:val="00D45320"/>
    <w:rsid w:val="00D45536"/>
    <w:rsid w:val="00D4585A"/>
    <w:rsid w:val="00D4593B"/>
    <w:rsid w:val="00D45A07"/>
    <w:rsid w:val="00D45A4E"/>
    <w:rsid w:val="00D45A62"/>
    <w:rsid w:val="00D45B14"/>
    <w:rsid w:val="00D45D25"/>
    <w:rsid w:val="00D45EBE"/>
    <w:rsid w:val="00D45F04"/>
    <w:rsid w:val="00D45F71"/>
    <w:rsid w:val="00D45F72"/>
    <w:rsid w:val="00D4613F"/>
    <w:rsid w:val="00D463CD"/>
    <w:rsid w:val="00D463E5"/>
    <w:rsid w:val="00D464B4"/>
    <w:rsid w:val="00D467B9"/>
    <w:rsid w:val="00D46949"/>
    <w:rsid w:val="00D469C1"/>
    <w:rsid w:val="00D46FFB"/>
    <w:rsid w:val="00D470E7"/>
    <w:rsid w:val="00D4718A"/>
    <w:rsid w:val="00D471B6"/>
    <w:rsid w:val="00D472D3"/>
    <w:rsid w:val="00D47409"/>
    <w:rsid w:val="00D4749B"/>
    <w:rsid w:val="00D4764E"/>
    <w:rsid w:val="00D477F5"/>
    <w:rsid w:val="00D47B18"/>
    <w:rsid w:val="00D47BB8"/>
    <w:rsid w:val="00D47CEE"/>
    <w:rsid w:val="00D47D88"/>
    <w:rsid w:val="00D47DDA"/>
    <w:rsid w:val="00D47DFF"/>
    <w:rsid w:val="00D500F2"/>
    <w:rsid w:val="00D5045F"/>
    <w:rsid w:val="00D50587"/>
    <w:rsid w:val="00D505CD"/>
    <w:rsid w:val="00D5065B"/>
    <w:rsid w:val="00D50A88"/>
    <w:rsid w:val="00D50B3F"/>
    <w:rsid w:val="00D50B88"/>
    <w:rsid w:val="00D50C14"/>
    <w:rsid w:val="00D50FEB"/>
    <w:rsid w:val="00D510A9"/>
    <w:rsid w:val="00D5117C"/>
    <w:rsid w:val="00D511FE"/>
    <w:rsid w:val="00D5140E"/>
    <w:rsid w:val="00D5155C"/>
    <w:rsid w:val="00D51650"/>
    <w:rsid w:val="00D517CF"/>
    <w:rsid w:val="00D51999"/>
    <w:rsid w:val="00D51A0C"/>
    <w:rsid w:val="00D51AFD"/>
    <w:rsid w:val="00D51B9F"/>
    <w:rsid w:val="00D51F60"/>
    <w:rsid w:val="00D523A7"/>
    <w:rsid w:val="00D5252C"/>
    <w:rsid w:val="00D526F6"/>
    <w:rsid w:val="00D527E6"/>
    <w:rsid w:val="00D52B9C"/>
    <w:rsid w:val="00D52C15"/>
    <w:rsid w:val="00D52D80"/>
    <w:rsid w:val="00D530F0"/>
    <w:rsid w:val="00D53213"/>
    <w:rsid w:val="00D5322F"/>
    <w:rsid w:val="00D5326D"/>
    <w:rsid w:val="00D5328E"/>
    <w:rsid w:val="00D5341A"/>
    <w:rsid w:val="00D535C3"/>
    <w:rsid w:val="00D538DB"/>
    <w:rsid w:val="00D53DD6"/>
    <w:rsid w:val="00D53F11"/>
    <w:rsid w:val="00D5403F"/>
    <w:rsid w:val="00D541AC"/>
    <w:rsid w:val="00D542F0"/>
    <w:rsid w:val="00D54921"/>
    <w:rsid w:val="00D5496D"/>
    <w:rsid w:val="00D549CE"/>
    <w:rsid w:val="00D54AC1"/>
    <w:rsid w:val="00D54B49"/>
    <w:rsid w:val="00D54FD7"/>
    <w:rsid w:val="00D54FD9"/>
    <w:rsid w:val="00D55064"/>
    <w:rsid w:val="00D55105"/>
    <w:rsid w:val="00D55287"/>
    <w:rsid w:val="00D5529C"/>
    <w:rsid w:val="00D552B9"/>
    <w:rsid w:val="00D556C4"/>
    <w:rsid w:val="00D559D4"/>
    <w:rsid w:val="00D55A1E"/>
    <w:rsid w:val="00D55BAD"/>
    <w:rsid w:val="00D55D3A"/>
    <w:rsid w:val="00D56215"/>
    <w:rsid w:val="00D5660D"/>
    <w:rsid w:val="00D566A4"/>
    <w:rsid w:val="00D56730"/>
    <w:rsid w:val="00D5675B"/>
    <w:rsid w:val="00D5675D"/>
    <w:rsid w:val="00D5678E"/>
    <w:rsid w:val="00D569C3"/>
    <w:rsid w:val="00D56C1B"/>
    <w:rsid w:val="00D56DCD"/>
    <w:rsid w:val="00D56F99"/>
    <w:rsid w:val="00D5716E"/>
    <w:rsid w:val="00D578BB"/>
    <w:rsid w:val="00D57A0B"/>
    <w:rsid w:val="00D57A8F"/>
    <w:rsid w:val="00D57D90"/>
    <w:rsid w:val="00D57E8E"/>
    <w:rsid w:val="00D57F75"/>
    <w:rsid w:val="00D6031F"/>
    <w:rsid w:val="00D6042D"/>
    <w:rsid w:val="00D60464"/>
    <w:rsid w:val="00D6055B"/>
    <w:rsid w:val="00D60642"/>
    <w:rsid w:val="00D607F4"/>
    <w:rsid w:val="00D60A39"/>
    <w:rsid w:val="00D60B0C"/>
    <w:rsid w:val="00D60C45"/>
    <w:rsid w:val="00D60C50"/>
    <w:rsid w:val="00D60CBE"/>
    <w:rsid w:val="00D60F3C"/>
    <w:rsid w:val="00D60F8A"/>
    <w:rsid w:val="00D61022"/>
    <w:rsid w:val="00D610EA"/>
    <w:rsid w:val="00D61149"/>
    <w:rsid w:val="00D611C8"/>
    <w:rsid w:val="00D612B2"/>
    <w:rsid w:val="00D61380"/>
    <w:rsid w:val="00D61798"/>
    <w:rsid w:val="00D61945"/>
    <w:rsid w:val="00D61982"/>
    <w:rsid w:val="00D61AF5"/>
    <w:rsid w:val="00D61CAF"/>
    <w:rsid w:val="00D61CCB"/>
    <w:rsid w:val="00D61F52"/>
    <w:rsid w:val="00D62131"/>
    <w:rsid w:val="00D621B7"/>
    <w:rsid w:val="00D6264C"/>
    <w:rsid w:val="00D6266E"/>
    <w:rsid w:val="00D62716"/>
    <w:rsid w:val="00D62809"/>
    <w:rsid w:val="00D62C41"/>
    <w:rsid w:val="00D62D1F"/>
    <w:rsid w:val="00D62DFE"/>
    <w:rsid w:val="00D62E93"/>
    <w:rsid w:val="00D62F35"/>
    <w:rsid w:val="00D631CE"/>
    <w:rsid w:val="00D632A4"/>
    <w:rsid w:val="00D633FF"/>
    <w:rsid w:val="00D63443"/>
    <w:rsid w:val="00D63585"/>
    <w:rsid w:val="00D635C7"/>
    <w:rsid w:val="00D63764"/>
    <w:rsid w:val="00D637FE"/>
    <w:rsid w:val="00D63AEB"/>
    <w:rsid w:val="00D63E28"/>
    <w:rsid w:val="00D640FF"/>
    <w:rsid w:val="00D64173"/>
    <w:rsid w:val="00D64308"/>
    <w:rsid w:val="00D64389"/>
    <w:rsid w:val="00D6442B"/>
    <w:rsid w:val="00D6464E"/>
    <w:rsid w:val="00D646BE"/>
    <w:rsid w:val="00D64701"/>
    <w:rsid w:val="00D6488C"/>
    <w:rsid w:val="00D64961"/>
    <w:rsid w:val="00D64B34"/>
    <w:rsid w:val="00D64D92"/>
    <w:rsid w:val="00D64FEC"/>
    <w:rsid w:val="00D650BC"/>
    <w:rsid w:val="00D652A6"/>
    <w:rsid w:val="00D652C8"/>
    <w:rsid w:val="00D6535B"/>
    <w:rsid w:val="00D654AC"/>
    <w:rsid w:val="00D654B9"/>
    <w:rsid w:val="00D655EA"/>
    <w:rsid w:val="00D65788"/>
    <w:rsid w:val="00D65858"/>
    <w:rsid w:val="00D65895"/>
    <w:rsid w:val="00D65CA0"/>
    <w:rsid w:val="00D65D8D"/>
    <w:rsid w:val="00D65E1C"/>
    <w:rsid w:val="00D65F33"/>
    <w:rsid w:val="00D66530"/>
    <w:rsid w:val="00D66A36"/>
    <w:rsid w:val="00D66B09"/>
    <w:rsid w:val="00D66B96"/>
    <w:rsid w:val="00D66F3F"/>
    <w:rsid w:val="00D66FB9"/>
    <w:rsid w:val="00D670C6"/>
    <w:rsid w:val="00D6713A"/>
    <w:rsid w:val="00D67224"/>
    <w:rsid w:val="00D6724D"/>
    <w:rsid w:val="00D672F8"/>
    <w:rsid w:val="00D679EF"/>
    <w:rsid w:val="00D67B33"/>
    <w:rsid w:val="00D67DBF"/>
    <w:rsid w:val="00D67F08"/>
    <w:rsid w:val="00D67FE5"/>
    <w:rsid w:val="00D7038A"/>
    <w:rsid w:val="00D70537"/>
    <w:rsid w:val="00D7072F"/>
    <w:rsid w:val="00D708AC"/>
    <w:rsid w:val="00D70D08"/>
    <w:rsid w:val="00D70D50"/>
    <w:rsid w:val="00D70EC7"/>
    <w:rsid w:val="00D70F51"/>
    <w:rsid w:val="00D70FD7"/>
    <w:rsid w:val="00D712C9"/>
    <w:rsid w:val="00D71369"/>
    <w:rsid w:val="00D71576"/>
    <w:rsid w:val="00D71623"/>
    <w:rsid w:val="00D71636"/>
    <w:rsid w:val="00D718C7"/>
    <w:rsid w:val="00D7193A"/>
    <w:rsid w:val="00D71B07"/>
    <w:rsid w:val="00D71D1C"/>
    <w:rsid w:val="00D71D5D"/>
    <w:rsid w:val="00D71ECD"/>
    <w:rsid w:val="00D71F20"/>
    <w:rsid w:val="00D72697"/>
    <w:rsid w:val="00D726EF"/>
    <w:rsid w:val="00D7293A"/>
    <w:rsid w:val="00D72E13"/>
    <w:rsid w:val="00D72F70"/>
    <w:rsid w:val="00D72F91"/>
    <w:rsid w:val="00D72FB3"/>
    <w:rsid w:val="00D7328B"/>
    <w:rsid w:val="00D732B9"/>
    <w:rsid w:val="00D733AA"/>
    <w:rsid w:val="00D73618"/>
    <w:rsid w:val="00D7362C"/>
    <w:rsid w:val="00D736C4"/>
    <w:rsid w:val="00D73712"/>
    <w:rsid w:val="00D73763"/>
    <w:rsid w:val="00D738E6"/>
    <w:rsid w:val="00D73A4E"/>
    <w:rsid w:val="00D73B85"/>
    <w:rsid w:val="00D73EDA"/>
    <w:rsid w:val="00D74017"/>
    <w:rsid w:val="00D74049"/>
    <w:rsid w:val="00D740B6"/>
    <w:rsid w:val="00D74134"/>
    <w:rsid w:val="00D74158"/>
    <w:rsid w:val="00D7416C"/>
    <w:rsid w:val="00D74198"/>
    <w:rsid w:val="00D741D8"/>
    <w:rsid w:val="00D741DF"/>
    <w:rsid w:val="00D743DB"/>
    <w:rsid w:val="00D743E2"/>
    <w:rsid w:val="00D74495"/>
    <w:rsid w:val="00D74497"/>
    <w:rsid w:val="00D745BF"/>
    <w:rsid w:val="00D746BB"/>
    <w:rsid w:val="00D746CF"/>
    <w:rsid w:val="00D7490C"/>
    <w:rsid w:val="00D749EB"/>
    <w:rsid w:val="00D74BA2"/>
    <w:rsid w:val="00D74C6A"/>
    <w:rsid w:val="00D74CC5"/>
    <w:rsid w:val="00D74DEC"/>
    <w:rsid w:val="00D7508F"/>
    <w:rsid w:val="00D751FD"/>
    <w:rsid w:val="00D75449"/>
    <w:rsid w:val="00D754E9"/>
    <w:rsid w:val="00D755E2"/>
    <w:rsid w:val="00D756B4"/>
    <w:rsid w:val="00D75736"/>
    <w:rsid w:val="00D758D6"/>
    <w:rsid w:val="00D75A89"/>
    <w:rsid w:val="00D75B77"/>
    <w:rsid w:val="00D75C3A"/>
    <w:rsid w:val="00D75E8B"/>
    <w:rsid w:val="00D75F49"/>
    <w:rsid w:val="00D75F6A"/>
    <w:rsid w:val="00D75FB8"/>
    <w:rsid w:val="00D75FBD"/>
    <w:rsid w:val="00D760F4"/>
    <w:rsid w:val="00D76468"/>
    <w:rsid w:val="00D76589"/>
    <w:rsid w:val="00D765EE"/>
    <w:rsid w:val="00D76E55"/>
    <w:rsid w:val="00D76EEE"/>
    <w:rsid w:val="00D77002"/>
    <w:rsid w:val="00D77254"/>
    <w:rsid w:val="00D77293"/>
    <w:rsid w:val="00D772E1"/>
    <w:rsid w:val="00D77476"/>
    <w:rsid w:val="00D77727"/>
    <w:rsid w:val="00D777C8"/>
    <w:rsid w:val="00D77858"/>
    <w:rsid w:val="00D778B7"/>
    <w:rsid w:val="00D77920"/>
    <w:rsid w:val="00D77AA2"/>
    <w:rsid w:val="00D77AEF"/>
    <w:rsid w:val="00D77DD5"/>
    <w:rsid w:val="00D77F53"/>
    <w:rsid w:val="00D8009C"/>
    <w:rsid w:val="00D80142"/>
    <w:rsid w:val="00D80158"/>
    <w:rsid w:val="00D801FB"/>
    <w:rsid w:val="00D80581"/>
    <w:rsid w:val="00D806E4"/>
    <w:rsid w:val="00D808A2"/>
    <w:rsid w:val="00D808F3"/>
    <w:rsid w:val="00D80C06"/>
    <w:rsid w:val="00D80C4D"/>
    <w:rsid w:val="00D80D01"/>
    <w:rsid w:val="00D810AB"/>
    <w:rsid w:val="00D810EF"/>
    <w:rsid w:val="00D811E4"/>
    <w:rsid w:val="00D81370"/>
    <w:rsid w:val="00D813EB"/>
    <w:rsid w:val="00D81434"/>
    <w:rsid w:val="00D81512"/>
    <w:rsid w:val="00D815DE"/>
    <w:rsid w:val="00D81734"/>
    <w:rsid w:val="00D818A1"/>
    <w:rsid w:val="00D81982"/>
    <w:rsid w:val="00D819DF"/>
    <w:rsid w:val="00D81A63"/>
    <w:rsid w:val="00D81B66"/>
    <w:rsid w:val="00D81EAF"/>
    <w:rsid w:val="00D81F65"/>
    <w:rsid w:val="00D81FD7"/>
    <w:rsid w:val="00D822D9"/>
    <w:rsid w:val="00D822F5"/>
    <w:rsid w:val="00D824CC"/>
    <w:rsid w:val="00D824FA"/>
    <w:rsid w:val="00D82524"/>
    <w:rsid w:val="00D826D0"/>
    <w:rsid w:val="00D82748"/>
    <w:rsid w:val="00D82822"/>
    <w:rsid w:val="00D82ADC"/>
    <w:rsid w:val="00D82C04"/>
    <w:rsid w:val="00D82D35"/>
    <w:rsid w:val="00D83194"/>
    <w:rsid w:val="00D83477"/>
    <w:rsid w:val="00D8361A"/>
    <w:rsid w:val="00D837D6"/>
    <w:rsid w:val="00D83920"/>
    <w:rsid w:val="00D83B92"/>
    <w:rsid w:val="00D83C71"/>
    <w:rsid w:val="00D83E68"/>
    <w:rsid w:val="00D8415C"/>
    <w:rsid w:val="00D84352"/>
    <w:rsid w:val="00D843AD"/>
    <w:rsid w:val="00D8467F"/>
    <w:rsid w:val="00D84725"/>
    <w:rsid w:val="00D849E0"/>
    <w:rsid w:val="00D84B1A"/>
    <w:rsid w:val="00D84C19"/>
    <w:rsid w:val="00D84C66"/>
    <w:rsid w:val="00D84DEE"/>
    <w:rsid w:val="00D85203"/>
    <w:rsid w:val="00D85376"/>
    <w:rsid w:val="00D854C0"/>
    <w:rsid w:val="00D854FC"/>
    <w:rsid w:val="00D85542"/>
    <w:rsid w:val="00D85681"/>
    <w:rsid w:val="00D85934"/>
    <w:rsid w:val="00D85B64"/>
    <w:rsid w:val="00D85FA9"/>
    <w:rsid w:val="00D860D3"/>
    <w:rsid w:val="00D86117"/>
    <w:rsid w:val="00D86217"/>
    <w:rsid w:val="00D8640A"/>
    <w:rsid w:val="00D86542"/>
    <w:rsid w:val="00D865A8"/>
    <w:rsid w:val="00D8685A"/>
    <w:rsid w:val="00D86A3D"/>
    <w:rsid w:val="00D86D05"/>
    <w:rsid w:val="00D86D8C"/>
    <w:rsid w:val="00D86DC5"/>
    <w:rsid w:val="00D86FD0"/>
    <w:rsid w:val="00D87191"/>
    <w:rsid w:val="00D87235"/>
    <w:rsid w:val="00D8729F"/>
    <w:rsid w:val="00D87434"/>
    <w:rsid w:val="00D8782E"/>
    <w:rsid w:val="00D87896"/>
    <w:rsid w:val="00D87925"/>
    <w:rsid w:val="00D8797B"/>
    <w:rsid w:val="00D87B48"/>
    <w:rsid w:val="00D87DA2"/>
    <w:rsid w:val="00D90134"/>
    <w:rsid w:val="00D9022E"/>
    <w:rsid w:val="00D902CF"/>
    <w:rsid w:val="00D90387"/>
    <w:rsid w:val="00D903AC"/>
    <w:rsid w:val="00D904B2"/>
    <w:rsid w:val="00D907F0"/>
    <w:rsid w:val="00D9094B"/>
    <w:rsid w:val="00D90A5C"/>
    <w:rsid w:val="00D90B0A"/>
    <w:rsid w:val="00D90BB3"/>
    <w:rsid w:val="00D90F4A"/>
    <w:rsid w:val="00D90F65"/>
    <w:rsid w:val="00D9150D"/>
    <w:rsid w:val="00D915E8"/>
    <w:rsid w:val="00D9184A"/>
    <w:rsid w:val="00D91898"/>
    <w:rsid w:val="00D91917"/>
    <w:rsid w:val="00D91931"/>
    <w:rsid w:val="00D91BE9"/>
    <w:rsid w:val="00D91F5F"/>
    <w:rsid w:val="00D91F6F"/>
    <w:rsid w:val="00D91FE0"/>
    <w:rsid w:val="00D91FE2"/>
    <w:rsid w:val="00D920F5"/>
    <w:rsid w:val="00D9212C"/>
    <w:rsid w:val="00D922F3"/>
    <w:rsid w:val="00D92324"/>
    <w:rsid w:val="00D923FC"/>
    <w:rsid w:val="00D924A3"/>
    <w:rsid w:val="00D924C9"/>
    <w:rsid w:val="00D9257D"/>
    <w:rsid w:val="00D925EC"/>
    <w:rsid w:val="00D926C9"/>
    <w:rsid w:val="00D9273B"/>
    <w:rsid w:val="00D92746"/>
    <w:rsid w:val="00D928B2"/>
    <w:rsid w:val="00D92978"/>
    <w:rsid w:val="00D92B53"/>
    <w:rsid w:val="00D92BC0"/>
    <w:rsid w:val="00D92CDA"/>
    <w:rsid w:val="00D92D9C"/>
    <w:rsid w:val="00D92ECB"/>
    <w:rsid w:val="00D92F83"/>
    <w:rsid w:val="00D930E8"/>
    <w:rsid w:val="00D93184"/>
    <w:rsid w:val="00D9346B"/>
    <w:rsid w:val="00D934AF"/>
    <w:rsid w:val="00D934C3"/>
    <w:rsid w:val="00D9371B"/>
    <w:rsid w:val="00D93883"/>
    <w:rsid w:val="00D938A0"/>
    <w:rsid w:val="00D9395A"/>
    <w:rsid w:val="00D93C36"/>
    <w:rsid w:val="00D9405D"/>
    <w:rsid w:val="00D942D1"/>
    <w:rsid w:val="00D94303"/>
    <w:rsid w:val="00D943C3"/>
    <w:rsid w:val="00D946B5"/>
    <w:rsid w:val="00D94936"/>
    <w:rsid w:val="00D94A07"/>
    <w:rsid w:val="00D94A87"/>
    <w:rsid w:val="00D94BC7"/>
    <w:rsid w:val="00D94ED9"/>
    <w:rsid w:val="00D95135"/>
    <w:rsid w:val="00D9544C"/>
    <w:rsid w:val="00D9571F"/>
    <w:rsid w:val="00D9586F"/>
    <w:rsid w:val="00D95905"/>
    <w:rsid w:val="00D959AD"/>
    <w:rsid w:val="00D95BD7"/>
    <w:rsid w:val="00D95C49"/>
    <w:rsid w:val="00D95EAC"/>
    <w:rsid w:val="00D95ED6"/>
    <w:rsid w:val="00D9603C"/>
    <w:rsid w:val="00D9604C"/>
    <w:rsid w:val="00D96160"/>
    <w:rsid w:val="00D9619D"/>
    <w:rsid w:val="00D961E7"/>
    <w:rsid w:val="00D9621C"/>
    <w:rsid w:val="00D96414"/>
    <w:rsid w:val="00D9647C"/>
    <w:rsid w:val="00D964BA"/>
    <w:rsid w:val="00D964C3"/>
    <w:rsid w:val="00D9656E"/>
    <w:rsid w:val="00D966DF"/>
    <w:rsid w:val="00D9693F"/>
    <w:rsid w:val="00D96A89"/>
    <w:rsid w:val="00D96B10"/>
    <w:rsid w:val="00D96C54"/>
    <w:rsid w:val="00D96CDF"/>
    <w:rsid w:val="00D96D25"/>
    <w:rsid w:val="00D97000"/>
    <w:rsid w:val="00D97121"/>
    <w:rsid w:val="00D97272"/>
    <w:rsid w:val="00D972CF"/>
    <w:rsid w:val="00D97376"/>
    <w:rsid w:val="00D974FD"/>
    <w:rsid w:val="00D975E4"/>
    <w:rsid w:val="00D9767C"/>
    <w:rsid w:val="00D9779A"/>
    <w:rsid w:val="00D9788D"/>
    <w:rsid w:val="00D978CD"/>
    <w:rsid w:val="00D97FD9"/>
    <w:rsid w:val="00DA002F"/>
    <w:rsid w:val="00DA0308"/>
    <w:rsid w:val="00DA0335"/>
    <w:rsid w:val="00DA03D6"/>
    <w:rsid w:val="00DA0AE0"/>
    <w:rsid w:val="00DA0B7E"/>
    <w:rsid w:val="00DA0EE0"/>
    <w:rsid w:val="00DA1012"/>
    <w:rsid w:val="00DA17A2"/>
    <w:rsid w:val="00DA1A1D"/>
    <w:rsid w:val="00DA1CB3"/>
    <w:rsid w:val="00DA1CDB"/>
    <w:rsid w:val="00DA1E00"/>
    <w:rsid w:val="00DA1F0D"/>
    <w:rsid w:val="00DA207F"/>
    <w:rsid w:val="00DA20D3"/>
    <w:rsid w:val="00DA219D"/>
    <w:rsid w:val="00DA23D3"/>
    <w:rsid w:val="00DA23F2"/>
    <w:rsid w:val="00DA2403"/>
    <w:rsid w:val="00DA2712"/>
    <w:rsid w:val="00DA275B"/>
    <w:rsid w:val="00DA298E"/>
    <w:rsid w:val="00DA2CA0"/>
    <w:rsid w:val="00DA2E39"/>
    <w:rsid w:val="00DA2E40"/>
    <w:rsid w:val="00DA2FE2"/>
    <w:rsid w:val="00DA30DD"/>
    <w:rsid w:val="00DA30EB"/>
    <w:rsid w:val="00DA31F1"/>
    <w:rsid w:val="00DA32F5"/>
    <w:rsid w:val="00DA3450"/>
    <w:rsid w:val="00DA36DA"/>
    <w:rsid w:val="00DA36DC"/>
    <w:rsid w:val="00DA387E"/>
    <w:rsid w:val="00DA3920"/>
    <w:rsid w:val="00DA3A20"/>
    <w:rsid w:val="00DA3A2A"/>
    <w:rsid w:val="00DA3C9E"/>
    <w:rsid w:val="00DA3F5E"/>
    <w:rsid w:val="00DA4018"/>
    <w:rsid w:val="00DA428D"/>
    <w:rsid w:val="00DA43FD"/>
    <w:rsid w:val="00DA4460"/>
    <w:rsid w:val="00DA46E0"/>
    <w:rsid w:val="00DA4720"/>
    <w:rsid w:val="00DA4744"/>
    <w:rsid w:val="00DA4745"/>
    <w:rsid w:val="00DA49AE"/>
    <w:rsid w:val="00DA4A02"/>
    <w:rsid w:val="00DA4A7C"/>
    <w:rsid w:val="00DA4BAB"/>
    <w:rsid w:val="00DA4BAD"/>
    <w:rsid w:val="00DA4D2A"/>
    <w:rsid w:val="00DA5106"/>
    <w:rsid w:val="00DA5191"/>
    <w:rsid w:val="00DA5206"/>
    <w:rsid w:val="00DA5600"/>
    <w:rsid w:val="00DA5725"/>
    <w:rsid w:val="00DA5771"/>
    <w:rsid w:val="00DA57C3"/>
    <w:rsid w:val="00DA580E"/>
    <w:rsid w:val="00DA5836"/>
    <w:rsid w:val="00DA5A1C"/>
    <w:rsid w:val="00DA5ACB"/>
    <w:rsid w:val="00DA5C3E"/>
    <w:rsid w:val="00DA5C97"/>
    <w:rsid w:val="00DA5CB3"/>
    <w:rsid w:val="00DA5D23"/>
    <w:rsid w:val="00DA5D61"/>
    <w:rsid w:val="00DA5E7C"/>
    <w:rsid w:val="00DA60A5"/>
    <w:rsid w:val="00DA6549"/>
    <w:rsid w:val="00DA66FA"/>
    <w:rsid w:val="00DA673F"/>
    <w:rsid w:val="00DA6829"/>
    <w:rsid w:val="00DA687E"/>
    <w:rsid w:val="00DA6920"/>
    <w:rsid w:val="00DA694F"/>
    <w:rsid w:val="00DA6FD5"/>
    <w:rsid w:val="00DA703B"/>
    <w:rsid w:val="00DA707C"/>
    <w:rsid w:val="00DA719A"/>
    <w:rsid w:val="00DA74A6"/>
    <w:rsid w:val="00DA7821"/>
    <w:rsid w:val="00DA7904"/>
    <w:rsid w:val="00DA7AC8"/>
    <w:rsid w:val="00DA7B07"/>
    <w:rsid w:val="00DA7C28"/>
    <w:rsid w:val="00DA7D76"/>
    <w:rsid w:val="00DA7DC4"/>
    <w:rsid w:val="00DA7E4C"/>
    <w:rsid w:val="00DA7E9C"/>
    <w:rsid w:val="00DB00F1"/>
    <w:rsid w:val="00DB0114"/>
    <w:rsid w:val="00DB0223"/>
    <w:rsid w:val="00DB0499"/>
    <w:rsid w:val="00DB0A00"/>
    <w:rsid w:val="00DB0B90"/>
    <w:rsid w:val="00DB0BB3"/>
    <w:rsid w:val="00DB0DA8"/>
    <w:rsid w:val="00DB0DBA"/>
    <w:rsid w:val="00DB0DD8"/>
    <w:rsid w:val="00DB0F13"/>
    <w:rsid w:val="00DB1224"/>
    <w:rsid w:val="00DB1268"/>
    <w:rsid w:val="00DB12D3"/>
    <w:rsid w:val="00DB17D0"/>
    <w:rsid w:val="00DB192E"/>
    <w:rsid w:val="00DB1C79"/>
    <w:rsid w:val="00DB1E57"/>
    <w:rsid w:val="00DB1F77"/>
    <w:rsid w:val="00DB2057"/>
    <w:rsid w:val="00DB2062"/>
    <w:rsid w:val="00DB2158"/>
    <w:rsid w:val="00DB2436"/>
    <w:rsid w:val="00DB248D"/>
    <w:rsid w:val="00DB250B"/>
    <w:rsid w:val="00DB273D"/>
    <w:rsid w:val="00DB27A7"/>
    <w:rsid w:val="00DB27AD"/>
    <w:rsid w:val="00DB28B6"/>
    <w:rsid w:val="00DB2BA1"/>
    <w:rsid w:val="00DB30AF"/>
    <w:rsid w:val="00DB31DB"/>
    <w:rsid w:val="00DB3308"/>
    <w:rsid w:val="00DB33C4"/>
    <w:rsid w:val="00DB3432"/>
    <w:rsid w:val="00DB343B"/>
    <w:rsid w:val="00DB3534"/>
    <w:rsid w:val="00DB3A46"/>
    <w:rsid w:val="00DB3C71"/>
    <w:rsid w:val="00DB3E80"/>
    <w:rsid w:val="00DB3E9D"/>
    <w:rsid w:val="00DB3EBB"/>
    <w:rsid w:val="00DB402F"/>
    <w:rsid w:val="00DB40A8"/>
    <w:rsid w:val="00DB421B"/>
    <w:rsid w:val="00DB427B"/>
    <w:rsid w:val="00DB437C"/>
    <w:rsid w:val="00DB45D2"/>
    <w:rsid w:val="00DB45FE"/>
    <w:rsid w:val="00DB468E"/>
    <w:rsid w:val="00DB4875"/>
    <w:rsid w:val="00DB48F4"/>
    <w:rsid w:val="00DB4909"/>
    <w:rsid w:val="00DB4D56"/>
    <w:rsid w:val="00DB4D5F"/>
    <w:rsid w:val="00DB4E40"/>
    <w:rsid w:val="00DB4EDA"/>
    <w:rsid w:val="00DB4F23"/>
    <w:rsid w:val="00DB5162"/>
    <w:rsid w:val="00DB5458"/>
    <w:rsid w:val="00DB5532"/>
    <w:rsid w:val="00DB5584"/>
    <w:rsid w:val="00DB5784"/>
    <w:rsid w:val="00DB58D1"/>
    <w:rsid w:val="00DB599E"/>
    <w:rsid w:val="00DB5AE0"/>
    <w:rsid w:val="00DB5EBD"/>
    <w:rsid w:val="00DB61EF"/>
    <w:rsid w:val="00DB6316"/>
    <w:rsid w:val="00DB63FB"/>
    <w:rsid w:val="00DB6453"/>
    <w:rsid w:val="00DB665B"/>
    <w:rsid w:val="00DB68C8"/>
    <w:rsid w:val="00DB6C1C"/>
    <w:rsid w:val="00DB6C3E"/>
    <w:rsid w:val="00DB6CA2"/>
    <w:rsid w:val="00DB7100"/>
    <w:rsid w:val="00DB7452"/>
    <w:rsid w:val="00DB75BE"/>
    <w:rsid w:val="00DB760E"/>
    <w:rsid w:val="00DB76D0"/>
    <w:rsid w:val="00DB7882"/>
    <w:rsid w:val="00DB7A8A"/>
    <w:rsid w:val="00DB7B57"/>
    <w:rsid w:val="00DB7C20"/>
    <w:rsid w:val="00DB7D40"/>
    <w:rsid w:val="00DB7D74"/>
    <w:rsid w:val="00DB7DE2"/>
    <w:rsid w:val="00DB7DF0"/>
    <w:rsid w:val="00DB7F9A"/>
    <w:rsid w:val="00DC00D3"/>
    <w:rsid w:val="00DC0291"/>
    <w:rsid w:val="00DC02BC"/>
    <w:rsid w:val="00DC035D"/>
    <w:rsid w:val="00DC03C5"/>
    <w:rsid w:val="00DC0557"/>
    <w:rsid w:val="00DC066C"/>
    <w:rsid w:val="00DC0974"/>
    <w:rsid w:val="00DC0DE3"/>
    <w:rsid w:val="00DC0E9D"/>
    <w:rsid w:val="00DC1069"/>
    <w:rsid w:val="00DC1184"/>
    <w:rsid w:val="00DC11B4"/>
    <w:rsid w:val="00DC126B"/>
    <w:rsid w:val="00DC13DA"/>
    <w:rsid w:val="00DC1421"/>
    <w:rsid w:val="00DC167E"/>
    <w:rsid w:val="00DC1704"/>
    <w:rsid w:val="00DC1725"/>
    <w:rsid w:val="00DC173D"/>
    <w:rsid w:val="00DC17E1"/>
    <w:rsid w:val="00DC1A2A"/>
    <w:rsid w:val="00DC1B3A"/>
    <w:rsid w:val="00DC1D11"/>
    <w:rsid w:val="00DC2104"/>
    <w:rsid w:val="00DC21AA"/>
    <w:rsid w:val="00DC21EC"/>
    <w:rsid w:val="00DC24AA"/>
    <w:rsid w:val="00DC258C"/>
    <w:rsid w:val="00DC2810"/>
    <w:rsid w:val="00DC2992"/>
    <w:rsid w:val="00DC2A6B"/>
    <w:rsid w:val="00DC2E3E"/>
    <w:rsid w:val="00DC2FD8"/>
    <w:rsid w:val="00DC3006"/>
    <w:rsid w:val="00DC38F4"/>
    <w:rsid w:val="00DC39B0"/>
    <w:rsid w:val="00DC39F0"/>
    <w:rsid w:val="00DC3A68"/>
    <w:rsid w:val="00DC3AE3"/>
    <w:rsid w:val="00DC3DCE"/>
    <w:rsid w:val="00DC3EA0"/>
    <w:rsid w:val="00DC3ECA"/>
    <w:rsid w:val="00DC438D"/>
    <w:rsid w:val="00DC441D"/>
    <w:rsid w:val="00DC453E"/>
    <w:rsid w:val="00DC4728"/>
    <w:rsid w:val="00DC4991"/>
    <w:rsid w:val="00DC4B28"/>
    <w:rsid w:val="00DC4C2B"/>
    <w:rsid w:val="00DC4D2E"/>
    <w:rsid w:val="00DC4D61"/>
    <w:rsid w:val="00DC4D6D"/>
    <w:rsid w:val="00DC4DD3"/>
    <w:rsid w:val="00DC4FBB"/>
    <w:rsid w:val="00DC5285"/>
    <w:rsid w:val="00DC52AB"/>
    <w:rsid w:val="00DC53B9"/>
    <w:rsid w:val="00DC54A7"/>
    <w:rsid w:val="00DC5695"/>
    <w:rsid w:val="00DC5698"/>
    <w:rsid w:val="00DC571E"/>
    <w:rsid w:val="00DC57B4"/>
    <w:rsid w:val="00DC5887"/>
    <w:rsid w:val="00DC58D3"/>
    <w:rsid w:val="00DC58DB"/>
    <w:rsid w:val="00DC5938"/>
    <w:rsid w:val="00DC59CF"/>
    <w:rsid w:val="00DC5AF4"/>
    <w:rsid w:val="00DC5D53"/>
    <w:rsid w:val="00DC5FE6"/>
    <w:rsid w:val="00DC61C2"/>
    <w:rsid w:val="00DC61F0"/>
    <w:rsid w:val="00DC657F"/>
    <w:rsid w:val="00DC65DD"/>
    <w:rsid w:val="00DC662B"/>
    <w:rsid w:val="00DC6943"/>
    <w:rsid w:val="00DC6B3A"/>
    <w:rsid w:val="00DC6C60"/>
    <w:rsid w:val="00DC6EA9"/>
    <w:rsid w:val="00DC7119"/>
    <w:rsid w:val="00DC73CE"/>
    <w:rsid w:val="00DC73ED"/>
    <w:rsid w:val="00DC75D6"/>
    <w:rsid w:val="00DC7A69"/>
    <w:rsid w:val="00DC7BC8"/>
    <w:rsid w:val="00DC7E00"/>
    <w:rsid w:val="00DC7F25"/>
    <w:rsid w:val="00DD0039"/>
    <w:rsid w:val="00DD047C"/>
    <w:rsid w:val="00DD04D2"/>
    <w:rsid w:val="00DD0512"/>
    <w:rsid w:val="00DD0517"/>
    <w:rsid w:val="00DD05CE"/>
    <w:rsid w:val="00DD06BF"/>
    <w:rsid w:val="00DD079E"/>
    <w:rsid w:val="00DD0A79"/>
    <w:rsid w:val="00DD0D48"/>
    <w:rsid w:val="00DD0D7C"/>
    <w:rsid w:val="00DD0E18"/>
    <w:rsid w:val="00DD1203"/>
    <w:rsid w:val="00DD1243"/>
    <w:rsid w:val="00DD12A1"/>
    <w:rsid w:val="00DD1376"/>
    <w:rsid w:val="00DD1448"/>
    <w:rsid w:val="00DD150D"/>
    <w:rsid w:val="00DD1788"/>
    <w:rsid w:val="00DD17AD"/>
    <w:rsid w:val="00DD18F0"/>
    <w:rsid w:val="00DD1926"/>
    <w:rsid w:val="00DD1963"/>
    <w:rsid w:val="00DD19D2"/>
    <w:rsid w:val="00DD1A07"/>
    <w:rsid w:val="00DD1A2B"/>
    <w:rsid w:val="00DD1AE3"/>
    <w:rsid w:val="00DD1CF8"/>
    <w:rsid w:val="00DD1DE7"/>
    <w:rsid w:val="00DD1DFF"/>
    <w:rsid w:val="00DD1F34"/>
    <w:rsid w:val="00DD2070"/>
    <w:rsid w:val="00DD2156"/>
    <w:rsid w:val="00DD2245"/>
    <w:rsid w:val="00DD23A4"/>
    <w:rsid w:val="00DD2499"/>
    <w:rsid w:val="00DD25EB"/>
    <w:rsid w:val="00DD2832"/>
    <w:rsid w:val="00DD29B8"/>
    <w:rsid w:val="00DD29E6"/>
    <w:rsid w:val="00DD2AD6"/>
    <w:rsid w:val="00DD2AF1"/>
    <w:rsid w:val="00DD2C48"/>
    <w:rsid w:val="00DD2D31"/>
    <w:rsid w:val="00DD2F3F"/>
    <w:rsid w:val="00DD3005"/>
    <w:rsid w:val="00DD3143"/>
    <w:rsid w:val="00DD348E"/>
    <w:rsid w:val="00DD3592"/>
    <w:rsid w:val="00DD35B8"/>
    <w:rsid w:val="00DD3635"/>
    <w:rsid w:val="00DD3769"/>
    <w:rsid w:val="00DD37D2"/>
    <w:rsid w:val="00DD3952"/>
    <w:rsid w:val="00DD3D30"/>
    <w:rsid w:val="00DD3DBE"/>
    <w:rsid w:val="00DD3DEC"/>
    <w:rsid w:val="00DD4025"/>
    <w:rsid w:val="00DD405C"/>
    <w:rsid w:val="00DD4185"/>
    <w:rsid w:val="00DD4191"/>
    <w:rsid w:val="00DD440D"/>
    <w:rsid w:val="00DD459A"/>
    <w:rsid w:val="00DD4684"/>
    <w:rsid w:val="00DD4752"/>
    <w:rsid w:val="00DD481A"/>
    <w:rsid w:val="00DD482A"/>
    <w:rsid w:val="00DD4E0E"/>
    <w:rsid w:val="00DD4E57"/>
    <w:rsid w:val="00DD4E61"/>
    <w:rsid w:val="00DD4F00"/>
    <w:rsid w:val="00DD4FCC"/>
    <w:rsid w:val="00DD52B7"/>
    <w:rsid w:val="00DD53EA"/>
    <w:rsid w:val="00DD56F6"/>
    <w:rsid w:val="00DD58C6"/>
    <w:rsid w:val="00DD597A"/>
    <w:rsid w:val="00DD59E6"/>
    <w:rsid w:val="00DD5AB8"/>
    <w:rsid w:val="00DD5BB9"/>
    <w:rsid w:val="00DD5C2D"/>
    <w:rsid w:val="00DD5DD3"/>
    <w:rsid w:val="00DD5E27"/>
    <w:rsid w:val="00DD6091"/>
    <w:rsid w:val="00DD61DF"/>
    <w:rsid w:val="00DD62FE"/>
    <w:rsid w:val="00DD6396"/>
    <w:rsid w:val="00DD6408"/>
    <w:rsid w:val="00DD651D"/>
    <w:rsid w:val="00DD65A3"/>
    <w:rsid w:val="00DD65F0"/>
    <w:rsid w:val="00DD6601"/>
    <w:rsid w:val="00DD6651"/>
    <w:rsid w:val="00DD6926"/>
    <w:rsid w:val="00DD6A84"/>
    <w:rsid w:val="00DD6AF4"/>
    <w:rsid w:val="00DD6BAB"/>
    <w:rsid w:val="00DD6C25"/>
    <w:rsid w:val="00DD6C8B"/>
    <w:rsid w:val="00DD6EA8"/>
    <w:rsid w:val="00DD70A6"/>
    <w:rsid w:val="00DD717B"/>
    <w:rsid w:val="00DD725F"/>
    <w:rsid w:val="00DD74B2"/>
    <w:rsid w:val="00DD74D6"/>
    <w:rsid w:val="00DD77D9"/>
    <w:rsid w:val="00DD7888"/>
    <w:rsid w:val="00DD78C8"/>
    <w:rsid w:val="00DD78FD"/>
    <w:rsid w:val="00DD7927"/>
    <w:rsid w:val="00DD7A39"/>
    <w:rsid w:val="00DD7B1F"/>
    <w:rsid w:val="00DD7CFF"/>
    <w:rsid w:val="00DD7D8D"/>
    <w:rsid w:val="00DE0106"/>
    <w:rsid w:val="00DE0238"/>
    <w:rsid w:val="00DE0276"/>
    <w:rsid w:val="00DE02F8"/>
    <w:rsid w:val="00DE031D"/>
    <w:rsid w:val="00DE04E0"/>
    <w:rsid w:val="00DE06CA"/>
    <w:rsid w:val="00DE06E9"/>
    <w:rsid w:val="00DE0851"/>
    <w:rsid w:val="00DE08A5"/>
    <w:rsid w:val="00DE09A9"/>
    <w:rsid w:val="00DE0A44"/>
    <w:rsid w:val="00DE0AEC"/>
    <w:rsid w:val="00DE0D9A"/>
    <w:rsid w:val="00DE0DF1"/>
    <w:rsid w:val="00DE10EC"/>
    <w:rsid w:val="00DE1251"/>
    <w:rsid w:val="00DE13A3"/>
    <w:rsid w:val="00DE154C"/>
    <w:rsid w:val="00DE17CB"/>
    <w:rsid w:val="00DE187A"/>
    <w:rsid w:val="00DE1AC8"/>
    <w:rsid w:val="00DE1BA0"/>
    <w:rsid w:val="00DE1C55"/>
    <w:rsid w:val="00DE1CF7"/>
    <w:rsid w:val="00DE20CD"/>
    <w:rsid w:val="00DE243A"/>
    <w:rsid w:val="00DE24F7"/>
    <w:rsid w:val="00DE25A6"/>
    <w:rsid w:val="00DE2A4B"/>
    <w:rsid w:val="00DE2C30"/>
    <w:rsid w:val="00DE2EB0"/>
    <w:rsid w:val="00DE2EE2"/>
    <w:rsid w:val="00DE300F"/>
    <w:rsid w:val="00DE31E9"/>
    <w:rsid w:val="00DE32D7"/>
    <w:rsid w:val="00DE3360"/>
    <w:rsid w:val="00DE346B"/>
    <w:rsid w:val="00DE36E0"/>
    <w:rsid w:val="00DE38FA"/>
    <w:rsid w:val="00DE3A05"/>
    <w:rsid w:val="00DE3A50"/>
    <w:rsid w:val="00DE3AB0"/>
    <w:rsid w:val="00DE3AF8"/>
    <w:rsid w:val="00DE3CC1"/>
    <w:rsid w:val="00DE3D12"/>
    <w:rsid w:val="00DE3DE6"/>
    <w:rsid w:val="00DE41FC"/>
    <w:rsid w:val="00DE426D"/>
    <w:rsid w:val="00DE436A"/>
    <w:rsid w:val="00DE45B4"/>
    <w:rsid w:val="00DE4690"/>
    <w:rsid w:val="00DE4A52"/>
    <w:rsid w:val="00DE4BAB"/>
    <w:rsid w:val="00DE4BFE"/>
    <w:rsid w:val="00DE4C1D"/>
    <w:rsid w:val="00DE4DAE"/>
    <w:rsid w:val="00DE4F42"/>
    <w:rsid w:val="00DE5143"/>
    <w:rsid w:val="00DE53BB"/>
    <w:rsid w:val="00DE5480"/>
    <w:rsid w:val="00DE5895"/>
    <w:rsid w:val="00DE5DEB"/>
    <w:rsid w:val="00DE6018"/>
    <w:rsid w:val="00DE60DC"/>
    <w:rsid w:val="00DE62F1"/>
    <w:rsid w:val="00DE6502"/>
    <w:rsid w:val="00DE6721"/>
    <w:rsid w:val="00DE6A56"/>
    <w:rsid w:val="00DE6AA2"/>
    <w:rsid w:val="00DE6E9E"/>
    <w:rsid w:val="00DE7082"/>
    <w:rsid w:val="00DE722D"/>
    <w:rsid w:val="00DE733F"/>
    <w:rsid w:val="00DE74AA"/>
    <w:rsid w:val="00DE755A"/>
    <w:rsid w:val="00DE75A0"/>
    <w:rsid w:val="00DE7687"/>
    <w:rsid w:val="00DE7770"/>
    <w:rsid w:val="00DE7771"/>
    <w:rsid w:val="00DE78DC"/>
    <w:rsid w:val="00DE795D"/>
    <w:rsid w:val="00DE7AEB"/>
    <w:rsid w:val="00DE7CF5"/>
    <w:rsid w:val="00DE7D59"/>
    <w:rsid w:val="00DE7DF4"/>
    <w:rsid w:val="00DE7F6A"/>
    <w:rsid w:val="00DF0176"/>
    <w:rsid w:val="00DF05EC"/>
    <w:rsid w:val="00DF060A"/>
    <w:rsid w:val="00DF08D0"/>
    <w:rsid w:val="00DF08D9"/>
    <w:rsid w:val="00DF0938"/>
    <w:rsid w:val="00DF0C58"/>
    <w:rsid w:val="00DF0D14"/>
    <w:rsid w:val="00DF0E15"/>
    <w:rsid w:val="00DF10F2"/>
    <w:rsid w:val="00DF111A"/>
    <w:rsid w:val="00DF117A"/>
    <w:rsid w:val="00DF11DD"/>
    <w:rsid w:val="00DF1261"/>
    <w:rsid w:val="00DF1566"/>
    <w:rsid w:val="00DF1796"/>
    <w:rsid w:val="00DF1895"/>
    <w:rsid w:val="00DF1A84"/>
    <w:rsid w:val="00DF1C76"/>
    <w:rsid w:val="00DF1D6A"/>
    <w:rsid w:val="00DF1EBE"/>
    <w:rsid w:val="00DF204C"/>
    <w:rsid w:val="00DF208B"/>
    <w:rsid w:val="00DF20A5"/>
    <w:rsid w:val="00DF20CB"/>
    <w:rsid w:val="00DF212A"/>
    <w:rsid w:val="00DF22F8"/>
    <w:rsid w:val="00DF2473"/>
    <w:rsid w:val="00DF25FC"/>
    <w:rsid w:val="00DF265A"/>
    <w:rsid w:val="00DF26A3"/>
    <w:rsid w:val="00DF275D"/>
    <w:rsid w:val="00DF296E"/>
    <w:rsid w:val="00DF2C65"/>
    <w:rsid w:val="00DF2DA7"/>
    <w:rsid w:val="00DF2F99"/>
    <w:rsid w:val="00DF32FC"/>
    <w:rsid w:val="00DF330D"/>
    <w:rsid w:val="00DF333F"/>
    <w:rsid w:val="00DF3385"/>
    <w:rsid w:val="00DF3598"/>
    <w:rsid w:val="00DF3712"/>
    <w:rsid w:val="00DF3A58"/>
    <w:rsid w:val="00DF3AE1"/>
    <w:rsid w:val="00DF3B55"/>
    <w:rsid w:val="00DF3CA8"/>
    <w:rsid w:val="00DF3CF8"/>
    <w:rsid w:val="00DF3DCC"/>
    <w:rsid w:val="00DF3E20"/>
    <w:rsid w:val="00DF3E3B"/>
    <w:rsid w:val="00DF3EE4"/>
    <w:rsid w:val="00DF3F22"/>
    <w:rsid w:val="00DF3F81"/>
    <w:rsid w:val="00DF4240"/>
    <w:rsid w:val="00DF4285"/>
    <w:rsid w:val="00DF43EF"/>
    <w:rsid w:val="00DF444E"/>
    <w:rsid w:val="00DF4661"/>
    <w:rsid w:val="00DF47DD"/>
    <w:rsid w:val="00DF48DC"/>
    <w:rsid w:val="00DF48ED"/>
    <w:rsid w:val="00DF499B"/>
    <w:rsid w:val="00DF4AD5"/>
    <w:rsid w:val="00DF4B54"/>
    <w:rsid w:val="00DF4BBD"/>
    <w:rsid w:val="00DF4CE6"/>
    <w:rsid w:val="00DF4D0E"/>
    <w:rsid w:val="00DF4D98"/>
    <w:rsid w:val="00DF4E84"/>
    <w:rsid w:val="00DF5061"/>
    <w:rsid w:val="00DF520E"/>
    <w:rsid w:val="00DF5499"/>
    <w:rsid w:val="00DF5B11"/>
    <w:rsid w:val="00DF5D54"/>
    <w:rsid w:val="00DF5F00"/>
    <w:rsid w:val="00DF5F04"/>
    <w:rsid w:val="00DF613B"/>
    <w:rsid w:val="00DF62F9"/>
    <w:rsid w:val="00DF6454"/>
    <w:rsid w:val="00DF68E4"/>
    <w:rsid w:val="00DF6A2D"/>
    <w:rsid w:val="00DF6ABF"/>
    <w:rsid w:val="00DF6D7D"/>
    <w:rsid w:val="00DF6EA8"/>
    <w:rsid w:val="00DF6F37"/>
    <w:rsid w:val="00DF71C9"/>
    <w:rsid w:val="00DF7228"/>
    <w:rsid w:val="00DF728A"/>
    <w:rsid w:val="00DF72EB"/>
    <w:rsid w:val="00DF73C7"/>
    <w:rsid w:val="00DF7406"/>
    <w:rsid w:val="00DF7814"/>
    <w:rsid w:val="00DF7824"/>
    <w:rsid w:val="00DF784B"/>
    <w:rsid w:val="00DF7E4E"/>
    <w:rsid w:val="00E000D0"/>
    <w:rsid w:val="00E00200"/>
    <w:rsid w:val="00E005F7"/>
    <w:rsid w:val="00E0062D"/>
    <w:rsid w:val="00E00769"/>
    <w:rsid w:val="00E0092A"/>
    <w:rsid w:val="00E00CBC"/>
    <w:rsid w:val="00E00EC8"/>
    <w:rsid w:val="00E01004"/>
    <w:rsid w:val="00E01258"/>
    <w:rsid w:val="00E01267"/>
    <w:rsid w:val="00E0128F"/>
    <w:rsid w:val="00E0131C"/>
    <w:rsid w:val="00E01565"/>
    <w:rsid w:val="00E01811"/>
    <w:rsid w:val="00E01965"/>
    <w:rsid w:val="00E01A2B"/>
    <w:rsid w:val="00E01B7E"/>
    <w:rsid w:val="00E01BBB"/>
    <w:rsid w:val="00E01BDF"/>
    <w:rsid w:val="00E01E2C"/>
    <w:rsid w:val="00E01E2D"/>
    <w:rsid w:val="00E01ED9"/>
    <w:rsid w:val="00E0209E"/>
    <w:rsid w:val="00E02630"/>
    <w:rsid w:val="00E026AB"/>
    <w:rsid w:val="00E02810"/>
    <w:rsid w:val="00E028C9"/>
    <w:rsid w:val="00E02994"/>
    <w:rsid w:val="00E029F3"/>
    <w:rsid w:val="00E02A6C"/>
    <w:rsid w:val="00E02AE2"/>
    <w:rsid w:val="00E02B6A"/>
    <w:rsid w:val="00E02BA1"/>
    <w:rsid w:val="00E02CDF"/>
    <w:rsid w:val="00E02E01"/>
    <w:rsid w:val="00E02E67"/>
    <w:rsid w:val="00E02EEC"/>
    <w:rsid w:val="00E02EF6"/>
    <w:rsid w:val="00E031E9"/>
    <w:rsid w:val="00E03206"/>
    <w:rsid w:val="00E03329"/>
    <w:rsid w:val="00E0334C"/>
    <w:rsid w:val="00E033A3"/>
    <w:rsid w:val="00E036A4"/>
    <w:rsid w:val="00E03719"/>
    <w:rsid w:val="00E03731"/>
    <w:rsid w:val="00E03859"/>
    <w:rsid w:val="00E0385C"/>
    <w:rsid w:val="00E03A28"/>
    <w:rsid w:val="00E03C0D"/>
    <w:rsid w:val="00E03CEE"/>
    <w:rsid w:val="00E03CFC"/>
    <w:rsid w:val="00E03D1B"/>
    <w:rsid w:val="00E03EF9"/>
    <w:rsid w:val="00E03F2F"/>
    <w:rsid w:val="00E03F6D"/>
    <w:rsid w:val="00E04076"/>
    <w:rsid w:val="00E04081"/>
    <w:rsid w:val="00E04188"/>
    <w:rsid w:val="00E0418F"/>
    <w:rsid w:val="00E0422E"/>
    <w:rsid w:val="00E04281"/>
    <w:rsid w:val="00E044D9"/>
    <w:rsid w:val="00E045C7"/>
    <w:rsid w:val="00E04618"/>
    <w:rsid w:val="00E04634"/>
    <w:rsid w:val="00E04935"/>
    <w:rsid w:val="00E04A04"/>
    <w:rsid w:val="00E04A09"/>
    <w:rsid w:val="00E04C69"/>
    <w:rsid w:val="00E04D33"/>
    <w:rsid w:val="00E04E99"/>
    <w:rsid w:val="00E04FBA"/>
    <w:rsid w:val="00E05018"/>
    <w:rsid w:val="00E05385"/>
    <w:rsid w:val="00E0566A"/>
    <w:rsid w:val="00E057E4"/>
    <w:rsid w:val="00E05937"/>
    <w:rsid w:val="00E05AEE"/>
    <w:rsid w:val="00E05C6E"/>
    <w:rsid w:val="00E05E01"/>
    <w:rsid w:val="00E05E22"/>
    <w:rsid w:val="00E05E33"/>
    <w:rsid w:val="00E05EB0"/>
    <w:rsid w:val="00E0631C"/>
    <w:rsid w:val="00E063BF"/>
    <w:rsid w:val="00E063CE"/>
    <w:rsid w:val="00E06451"/>
    <w:rsid w:val="00E06481"/>
    <w:rsid w:val="00E06629"/>
    <w:rsid w:val="00E06720"/>
    <w:rsid w:val="00E0679D"/>
    <w:rsid w:val="00E067E1"/>
    <w:rsid w:val="00E06B87"/>
    <w:rsid w:val="00E06C4B"/>
    <w:rsid w:val="00E06E00"/>
    <w:rsid w:val="00E06E9C"/>
    <w:rsid w:val="00E071BD"/>
    <w:rsid w:val="00E07252"/>
    <w:rsid w:val="00E0734E"/>
    <w:rsid w:val="00E07604"/>
    <w:rsid w:val="00E076C8"/>
    <w:rsid w:val="00E0783E"/>
    <w:rsid w:val="00E079D4"/>
    <w:rsid w:val="00E07AD0"/>
    <w:rsid w:val="00E1003A"/>
    <w:rsid w:val="00E1008D"/>
    <w:rsid w:val="00E1021C"/>
    <w:rsid w:val="00E102C3"/>
    <w:rsid w:val="00E1063F"/>
    <w:rsid w:val="00E107B6"/>
    <w:rsid w:val="00E10AA5"/>
    <w:rsid w:val="00E10B11"/>
    <w:rsid w:val="00E10C01"/>
    <w:rsid w:val="00E10D7F"/>
    <w:rsid w:val="00E10E8E"/>
    <w:rsid w:val="00E110A8"/>
    <w:rsid w:val="00E1115F"/>
    <w:rsid w:val="00E11194"/>
    <w:rsid w:val="00E11396"/>
    <w:rsid w:val="00E113B4"/>
    <w:rsid w:val="00E11A47"/>
    <w:rsid w:val="00E11DA3"/>
    <w:rsid w:val="00E11DB1"/>
    <w:rsid w:val="00E11F39"/>
    <w:rsid w:val="00E121E4"/>
    <w:rsid w:val="00E12210"/>
    <w:rsid w:val="00E123C0"/>
    <w:rsid w:val="00E123CC"/>
    <w:rsid w:val="00E1249F"/>
    <w:rsid w:val="00E124AD"/>
    <w:rsid w:val="00E1275F"/>
    <w:rsid w:val="00E12773"/>
    <w:rsid w:val="00E1277C"/>
    <w:rsid w:val="00E12819"/>
    <w:rsid w:val="00E12838"/>
    <w:rsid w:val="00E12C9F"/>
    <w:rsid w:val="00E12CEE"/>
    <w:rsid w:val="00E12DD5"/>
    <w:rsid w:val="00E135AD"/>
    <w:rsid w:val="00E135F2"/>
    <w:rsid w:val="00E13800"/>
    <w:rsid w:val="00E1381C"/>
    <w:rsid w:val="00E138D7"/>
    <w:rsid w:val="00E13C53"/>
    <w:rsid w:val="00E13C60"/>
    <w:rsid w:val="00E13C63"/>
    <w:rsid w:val="00E13C77"/>
    <w:rsid w:val="00E13DFC"/>
    <w:rsid w:val="00E13E22"/>
    <w:rsid w:val="00E13E59"/>
    <w:rsid w:val="00E13F42"/>
    <w:rsid w:val="00E140D3"/>
    <w:rsid w:val="00E1411D"/>
    <w:rsid w:val="00E14149"/>
    <w:rsid w:val="00E14156"/>
    <w:rsid w:val="00E14209"/>
    <w:rsid w:val="00E14247"/>
    <w:rsid w:val="00E145FD"/>
    <w:rsid w:val="00E14631"/>
    <w:rsid w:val="00E148B8"/>
    <w:rsid w:val="00E14C8E"/>
    <w:rsid w:val="00E14CC3"/>
    <w:rsid w:val="00E1503B"/>
    <w:rsid w:val="00E15235"/>
    <w:rsid w:val="00E152A9"/>
    <w:rsid w:val="00E1534A"/>
    <w:rsid w:val="00E154EF"/>
    <w:rsid w:val="00E155E6"/>
    <w:rsid w:val="00E1572D"/>
    <w:rsid w:val="00E157FF"/>
    <w:rsid w:val="00E15C53"/>
    <w:rsid w:val="00E15F25"/>
    <w:rsid w:val="00E15FC9"/>
    <w:rsid w:val="00E16046"/>
    <w:rsid w:val="00E16077"/>
    <w:rsid w:val="00E16299"/>
    <w:rsid w:val="00E16344"/>
    <w:rsid w:val="00E1641E"/>
    <w:rsid w:val="00E164E0"/>
    <w:rsid w:val="00E16805"/>
    <w:rsid w:val="00E1691B"/>
    <w:rsid w:val="00E169CF"/>
    <w:rsid w:val="00E16A96"/>
    <w:rsid w:val="00E16AC8"/>
    <w:rsid w:val="00E16C57"/>
    <w:rsid w:val="00E16D32"/>
    <w:rsid w:val="00E16DB7"/>
    <w:rsid w:val="00E16DD0"/>
    <w:rsid w:val="00E16E51"/>
    <w:rsid w:val="00E16EB8"/>
    <w:rsid w:val="00E16FA5"/>
    <w:rsid w:val="00E172B4"/>
    <w:rsid w:val="00E173E6"/>
    <w:rsid w:val="00E17537"/>
    <w:rsid w:val="00E1757D"/>
    <w:rsid w:val="00E175CA"/>
    <w:rsid w:val="00E177B8"/>
    <w:rsid w:val="00E177F8"/>
    <w:rsid w:val="00E178B2"/>
    <w:rsid w:val="00E1797F"/>
    <w:rsid w:val="00E179A0"/>
    <w:rsid w:val="00E17B2C"/>
    <w:rsid w:val="00E17B9D"/>
    <w:rsid w:val="00E17B9F"/>
    <w:rsid w:val="00E17E75"/>
    <w:rsid w:val="00E17F45"/>
    <w:rsid w:val="00E17F59"/>
    <w:rsid w:val="00E17F6D"/>
    <w:rsid w:val="00E2003B"/>
    <w:rsid w:val="00E2018D"/>
    <w:rsid w:val="00E201F3"/>
    <w:rsid w:val="00E20220"/>
    <w:rsid w:val="00E20272"/>
    <w:rsid w:val="00E20343"/>
    <w:rsid w:val="00E203C7"/>
    <w:rsid w:val="00E2050F"/>
    <w:rsid w:val="00E20553"/>
    <w:rsid w:val="00E2060C"/>
    <w:rsid w:val="00E2064F"/>
    <w:rsid w:val="00E20909"/>
    <w:rsid w:val="00E20915"/>
    <w:rsid w:val="00E20B0A"/>
    <w:rsid w:val="00E21039"/>
    <w:rsid w:val="00E21267"/>
    <w:rsid w:val="00E212F5"/>
    <w:rsid w:val="00E213F8"/>
    <w:rsid w:val="00E21498"/>
    <w:rsid w:val="00E214A2"/>
    <w:rsid w:val="00E214E7"/>
    <w:rsid w:val="00E21594"/>
    <w:rsid w:val="00E21648"/>
    <w:rsid w:val="00E21906"/>
    <w:rsid w:val="00E21A99"/>
    <w:rsid w:val="00E21B69"/>
    <w:rsid w:val="00E21D52"/>
    <w:rsid w:val="00E21E02"/>
    <w:rsid w:val="00E21ED2"/>
    <w:rsid w:val="00E21F44"/>
    <w:rsid w:val="00E22240"/>
    <w:rsid w:val="00E2242A"/>
    <w:rsid w:val="00E224C8"/>
    <w:rsid w:val="00E2282C"/>
    <w:rsid w:val="00E2289B"/>
    <w:rsid w:val="00E229C0"/>
    <w:rsid w:val="00E22A16"/>
    <w:rsid w:val="00E22AB3"/>
    <w:rsid w:val="00E22C52"/>
    <w:rsid w:val="00E22CE1"/>
    <w:rsid w:val="00E22CF6"/>
    <w:rsid w:val="00E22E3E"/>
    <w:rsid w:val="00E22F11"/>
    <w:rsid w:val="00E22F5B"/>
    <w:rsid w:val="00E23021"/>
    <w:rsid w:val="00E23120"/>
    <w:rsid w:val="00E231AA"/>
    <w:rsid w:val="00E231C4"/>
    <w:rsid w:val="00E23316"/>
    <w:rsid w:val="00E23419"/>
    <w:rsid w:val="00E23650"/>
    <w:rsid w:val="00E2374D"/>
    <w:rsid w:val="00E23C75"/>
    <w:rsid w:val="00E23CA8"/>
    <w:rsid w:val="00E23EF2"/>
    <w:rsid w:val="00E23F3E"/>
    <w:rsid w:val="00E2412E"/>
    <w:rsid w:val="00E242C2"/>
    <w:rsid w:val="00E24310"/>
    <w:rsid w:val="00E243BE"/>
    <w:rsid w:val="00E247F0"/>
    <w:rsid w:val="00E2498C"/>
    <w:rsid w:val="00E24A04"/>
    <w:rsid w:val="00E24CDB"/>
    <w:rsid w:val="00E24E7C"/>
    <w:rsid w:val="00E24EF9"/>
    <w:rsid w:val="00E24F91"/>
    <w:rsid w:val="00E24FA4"/>
    <w:rsid w:val="00E25284"/>
    <w:rsid w:val="00E25354"/>
    <w:rsid w:val="00E25386"/>
    <w:rsid w:val="00E253AA"/>
    <w:rsid w:val="00E25535"/>
    <w:rsid w:val="00E25582"/>
    <w:rsid w:val="00E255E8"/>
    <w:rsid w:val="00E25668"/>
    <w:rsid w:val="00E257E5"/>
    <w:rsid w:val="00E2586F"/>
    <w:rsid w:val="00E25C4E"/>
    <w:rsid w:val="00E25E30"/>
    <w:rsid w:val="00E26326"/>
    <w:rsid w:val="00E26444"/>
    <w:rsid w:val="00E266AA"/>
    <w:rsid w:val="00E2671E"/>
    <w:rsid w:val="00E2686A"/>
    <w:rsid w:val="00E26871"/>
    <w:rsid w:val="00E2689E"/>
    <w:rsid w:val="00E26984"/>
    <w:rsid w:val="00E26A99"/>
    <w:rsid w:val="00E26F5D"/>
    <w:rsid w:val="00E27210"/>
    <w:rsid w:val="00E273B9"/>
    <w:rsid w:val="00E273EE"/>
    <w:rsid w:val="00E27519"/>
    <w:rsid w:val="00E27757"/>
    <w:rsid w:val="00E27A44"/>
    <w:rsid w:val="00E27A65"/>
    <w:rsid w:val="00E27D66"/>
    <w:rsid w:val="00E27DD7"/>
    <w:rsid w:val="00E27E74"/>
    <w:rsid w:val="00E30023"/>
    <w:rsid w:val="00E30081"/>
    <w:rsid w:val="00E300F4"/>
    <w:rsid w:val="00E3041F"/>
    <w:rsid w:val="00E30489"/>
    <w:rsid w:val="00E304EE"/>
    <w:rsid w:val="00E305BB"/>
    <w:rsid w:val="00E3074B"/>
    <w:rsid w:val="00E30871"/>
    <w:rsid w:val="00E308B1"/>
    <w:rsid w:val="00E309B4"/>
    <w:rsid w:val="00E30AC8"/>
    <w:rsid w:val="00E30CA5"/>
    <w:rsid w:val="00E30F3E"/>
    <w:rsid w:val="00E3117E"/>
    <w:rsid w:val="00E311AA"/>
    <w:rsid w:val="00E311DD"/>
    <w:rsid w:val="00E31207"/>
    <w:rsid w:val="00E313BC"/>
    <w:rsid w:val="00E313C5"/>
    <w:rsid w:val="00E316A2"/>
    <w:rsid w:val="00E31865"/>
    <w:rsid w:val="00E31892"/>
    <w:rsid w:val="00E319A2"/>
    <w:rsid w:val="00E31A4B"/>
    <w:rsid w:val="00E31ADD"/>
    <w:rsid w:val="00E31C79"/>
    <w:rsid w:val="00E31CA1"/>
    <w:rsid w:val="00E31D42"/>
    <w:rsid w:val="00E31DA7"/>
    <w:rsid w:val="00E31E41"/>
    <w:rsid w:val="00E31FC9"/>
    <w:rsid w:val="00E32434"/>
    <w:rsid w:val="00E32443"/>
    <w:rsid w:val="00E32561"/>
    <w:rsid w:val="00E32931"/>
    <w:rsid w:val="00E32E03"/>
    <w:rsid w:val="00E32E05"/>
    <w:rsid w:val="00E3307F"/>
    <w:rsid w:val="00E3308E"/>
    <w:rsid w:val="00E3320F"/>
    <w:rsid w:val="00E33262"/>
    <w:rsid w:val="00E332FE"/>
    <w:rsid w:val="00E3339A"/>
    <w:rsid w:val="00E333B2"/>
    <w:rsid w:val="00E333B3"/>
    <w:rsid w:val="00E337C9"/>
    <w:rsid w:val="00E33901"/>
    <w:rsid w:val="00E33B3B"/>
    <w:rsid w:val="00E33B83"/>
    <w:rsid w:val="00E33BCA"/>
    <w:rsid w:val="00E33CE6"/>
    <w:rsid w:val="00E33F50"/>
    <w:rsid w:val="00E33FF3"/>
    <w:rsid w:val="00E34276"/>
    <w:rsid w:val="00E34431"/>
    <w:rsid w:val="00E345B7"/>
    <w:rsid w:val="00E346A8"/>
    <w:rsid w:val="00E34767"/>
    <w:rsid w:val="00E34796"/>
    <w:rsid w:val="00E3483E"/>
    <w:rsid w:val="00E34990"/>
    <w:rsid w:val="00E34AFC"/>
    <w:rsid w:val="00E34B7D"/>
    <w:rsid w:val="00E34EDC"/>
    <w:rsid w:val="00E3521C"/>
    <w:rsid w:val="00E35606"/>
    <w:rsid w:val="00E35936"/>
    <w:rsid w:val="00E359E2"/>
    <w:rsid w:val="00E35BF7"/>
    <w:rsid w:val="00E35C71"/>
    <w:rsid w:val="00E35D6E"/>
    <w:rsid w:val="00E35E8F"/>
    <w:rsid w:val="00E35EB9"/>
    <w:rsid w:val="00E35F1E"/>
    <w:rsid w:val="00E3602A"/>
    <w:rsid w:val="00E3659F"/>
    <w:rsid w:val="00E367A3"/>
    <w:rsid w:val="00E368C4"/>
    <w:rsid w:val="00E368CD"/>
    <w:rsid w:val="00E3692F"/>
    <w:rsid w:val="00E36A85"/>
    <w:rsid w:val="00E36B5C"/>
    <w:rsid w:val="00E36C35"/>
    <w:rsid w:val="00E36C86"/>
    <w:rsid w:val="00E36CA8"/>
    <w:rsid w:val="00E36CB2"/>
    <w:rsid w:val="00E36E70"/>
    <w:rsid w:val="00E36F04"/>
    <w:rsid w:val="00E37076"/>
    <w:rsid w:val="00E371FA"/>
    <w:rsid w:val="00E37362"/>
    <w:rsid w:val="00E3737C"/>
    <w:rsid w:val="00E37412"/>
    <w:rsid w:val="00E37747"/>
    <w:rsid w:val="00E37765"/>
    <w:rsid w:val="00E3777A"/>
    <w:rsid w:val="00E37787"/>
    <w:rsid w:val="00E377F2"/>
    <w:rsid w:val="00E37804"/>
    <w:rsid w:val="00E378DF"/>
    <w:rsid w:val="00E37A99"/>
    <w:rsid w:val="00E37B85"/>
    <w:rsid w:val="00E37CF6"/>
    <w:rsid w:val="00E37D1A"/>
    <w:rsid w:val="00E37E01"/>
    <w:rsid w:val="00E37FD3"/>
    <w:rsid w:val="00E4003F"/>
    <w:rsid w:val="00E4007C"/>
    <w:rsid w:val="00E40370"/>
    <w:rsid w:val="00E406A0"/>
    <w:rsid w:val="00E406D9"/>
    <w:rsid w:val="00E40840"/>
    <w:rsid w:val="00E408CE"/>
    <w:rsid w:val="00E4099B"/>
    <w:rsid w:val="00E40A87"/>
    <w:rsid w:val="00E40E9F"/>
    <w:rsid w:val="00E41313"/>
    <w:rsid w:val="00E41326"/>
    <w:rsid w:val="00E41469"/>
    <w:rsid w:val="00E4167D"/>
    <w:rsid w:val="00E4184E"/>
    <w:rsid w:val="00E41877"/>
    <w:rsid w:val="00E41A8A"/>
    <w:rsid w:val="00E41B7B"/>
    <w:rsid w:val="00E41EC9"/>
    <w:rsid w:val="00E41F3A"/>
    <w:rsid w:val="00E41F85"/>
    <w:rsid w:val="00E420C3"/>
    <w:rsid w:val="00E42317"/>
    <w:rsid w:val="00E42319"/>
    <w:rsid w:val="00E423E1"/>
    <w:rsid w:val="00E425C0"/>
    <w:rsid w:val="00E42716"/>
    <w:rsid w:val="00E4276D"/>
    <w:rsid w:val="00E427A5"/>
    <w:rsid w:val="00E428B3"/>
    <w:rsid w:val="00E42B2B"/>
    <w:rsid w:val="00E42C5B"/>
    <w:rsid w:val="00E42CE0"/>
    <w:rsid w:val="00E42E04"/>
    <w:rsid w:val="00E42F61"/>
    <w:rsid w:val="00E42F80"/>
    <w:rsid w:val="00E42FC9"/>
    <w:rsid w:val="00E436B8"/>
    <w:rsid w:val="00E4396D"/>
    <w:rsid w:val="00E43A47"/>
    <w:rsid w:val="00E43C06"/>
    <w:rsid w:val="00E43C19"/>
    <w:rsid w:val="00E43C32"/>
    <w:rsid w:val="00E43F91"/>
    <w:rsid w:val="00E43FE5"/>
    <w:rsid w:val="00E440B9"/>
    <w:rsid w:val="00E44148"/>
    <w:rsid w:val="00E4443E"/>
    <w:rsid w:val="00E448BF"/>
    <w:rsid w:val="00E448C3"/>
    <w:rsid w:val="00E44900"/>
    <w:rsid w:val="00E44934"/>
    <w:rsid w:val="00E44960"/>
    <w:rsid w:val="00E44BAA"/>
    <w:rsid w:val="00E44BDF"/>
    <w:rsid w:val="00E44CA9"/>
    <w:rsid w:val="00E44D88"/>
    <w:rsid w:val="00E44F32"/>
    <w:rsid w:val="00E44FA9"/>
    <w:rsid w:val="00E4509F"/>
    <w:rsid w:val="00E45229"/>
    <w:rsid w:val="00E45287"/>
    <w:rsid w:val="00E45353"/>
    <w:rsid w:val="00E453A4"/>
    <w:rsid w:val="00E4560B"/>
    <w:rsid w:val="00E456CD"/>
    <w:rsid w:val="00E458C7"/>
    <w:rsid w:val="00E45B15"/>
    <w:rsid w:val="00E45B19"/>
    <w:rsid w:val="00E45D9D"/>
    <w:rsid w:val="00E45E49"/>
    <w:rsid w:val="00E45EC0"/>
    <w:rsid w:val="00E45FF7"/>
    <w:rsid w:val="00E4617D"/>
    <w:rsid w:val="00E463ED"/>
    <w:rsid w:val="00E464C5"/>
    <w:rsid w:val="00E4683A"/>
    <w:rsid w:val="00E468B0"/>
    <w:rsid w:val="00E468C7"/>
    <w:rsid w:val="00E469E3"/>
    <w:rsid w:val="00E46E49"/>
    <w:rsid w:val="00E47049"/>
    <w:rsid w:val="00E47072"/>
    <w:rsid w:val="00E47164"/>
    <w:rsid w:val="00E471F8"/>
    <w:rsid w:val="00E47675"/>
    <w:rsid w:val="00E476D2"/>
    <w:rsid w:val="00E4779B"/>
    <w:rsid w:val="00E47C27"/>
    <w:rsid w:val="00E47C95"/>
    <w:rsid w:val="00E47D03"/>
    <w:rsid w:val="00E47D7E"/>
    <w:rsid w:val="00E47DC0"/>
    <w:rsid w:val="00E47EC5"/>
    <w:rsid w:val="00E47EFD"/>
    <w:rsid w:val="00E50028"/>
    <w:rsid w:val="00E50160"/>
    <w:rsid w:val="00E50286"/>
    <w:rsid w:val="00E507E0"/>
    <w:rsid w:val="00E5084D"/>
    <w:rsid w:val="00E508B6"/>
    <w:rsid w:val="00E50A4A"/>
    <w:rsid w:val="00E50CAF"/>
    <w:rsid w:val="00E50D00"/>
    <w:rsid w:val="00E50E6D"/>
    <w:rsid w:val="00E50E87"/>
    <w:rsid w:val="00E5100A"/>
    <w:rsid w:val="00E51021"/>
    <w:rsid w:val="00E51115"/>
    <w:rsid w:val="00E51199"/>
    <w:rsid w:val="00E51A33"/>
    <w:rsid w:val="00E51B8D"/>
    <w:rsid w:val="00E51B95"/>
    <w:rsid w:val="00E51BE9"/>
    <w:rsid w:val="00E51C57"/>
    <w:rsid w:val="00E51C9E"/>
    <w:rsid w:val="00E5237A"/>
    <w:rsid w:val="00E52412"/>
    <w:rsid w:val="00E524AF"/>
    <w:rsid w:val="00E52628"/>
    <w:rsid w:val="00E52960"/>
    <w:rsid w:val="00E52B4C"/>
    <w:rsid w:val="00E52C35"/>
    <w:rsid w:val="00E52C8E"/>
    <w:rsid w:val="00E52D5F"/>
    <w:rsid w:val="00E52E92"/>
    <w:rsid w:val="00E52EE6"/>
    <w:rsid w:val="00E52FEA"/>
    <w:rsid w:val="00E53034"/>
    <w:rsid w:val="00E53198"/>
    <w:rsid w:val="00E53381"/>
    <w:rsid w:val="00E534BD"/>
    <w:rsid w:val="00E5350A"/>
    <w:rsid w:val="00E53644"/>
    <w:rsid w:val="00E53645"/>
    <w:rsid w:val="00E536F6"/>
    <w:rsid w:val="00E53A79"/>
    <w:rsid w:val="00E53B00"/>
    <w:rsid w:val="00E53B7B"/>
    <w:rsid w:val="00E53D61"/>
    <w:rsid w:val="00E53D9B"/>
    <w:rsid w:val="00E53F34"/>
    <w:rsid w:val="00E5400E"/>
    <w:rsid w:val="00E54757"/>
    <w:rsid w:val="00E54810"/>
    <w:rsid w:val="00E548AA"/>
    <w:rsid w:val="00E548F1"/>
    <w:rsid w:val="00E549E5"/>
    <w:rsid w:val="00E54A72"/>
    <w:rsid w:val="00E54BB9"/>
    <w:rsid w:val="00E54DAF"/>
    <w:rsid w:val="00E55029"/>
    <w:rsid w:val="00E550EA"/>
    <w:rsid w:val="00E5510D"/>
    <w:rsid w:val="00E551B9"/>
    <w:rsid w:val="00E55415"/>
    <w:rsid w:val="00E55494"/>
    <w:rsid w:val="00E55496"/>
    <w:rsid w:val="00E555CD"/>
    <w:rsid w:val="00E5597E"/>
    <w:rsid w:val="00E559A4"/>
    <w:rsid w:val="00E559DD"/>
    <w:rsid w:val="00E55B17"/>
    <w:rsid w:val="00E55BBB"/>
    <w:rsid w:val="00E55C87"/>
    <w:rsid w:val="00E55CFE"/>
    <w:rsid w:val="00E55E37"/>
    <w:rsid w:val="00E560ED"/>
    <w:rsid w:val="00E56192"/>
    <w:rsid w:val="00E56212"/>
    <w:rsid w:val="00E5654A"/>
    <w:rsid w:val="00E566F9"/>
    <w:rsid w:val="00E567E9"/>
    <w:rsid w:val="00E56860"/>
    <w:rsid w:val="00E56936"/>
    <w:rsid w:val="00E56C3F"/>
    <w:rsid w:val="00E56C73"/>
    <w:rsid w:val="00E56C96"/>
    <w:rsid w:val="00E57065"/>
    <w:rsid w:val="00E5706B"/>
    <w:rsid w:val="00E57171"/>
    <w:rsid w:val="00E57182"/>
    <w:rsid w:val="00E5730A"/>
    <w:rsid w:val="00E5733A"/>
    <w:rsid w:val="00E573E6"/>
    <w:rsid w:val="00E57531"/>
    <w:rsid w:val="00E575D7"/>
    <w:rsid w:val="00E576C7"/>
    <w:rsid w:val="00E579C7"/>
    <w:rsid w:val="00E57AD5"/>
    <w:rsid w:val="00E57BC6"/>
    <w:rsid w:val="00E57C7A"/>
    <w:rsid w:val="00E60197"/>
    <w:rsid w:val="00E601AF"/>
    <w:rsid w:val="00E6035E"/>
    <w:rsid w:val="00E60424"/>
    <w:rsid w:val="00E6047B"/>
    <w:rsid w:val="00E60557"/>
    <w:rsid w:val="00E606F9"/>
    <w:rsid w:val="00E60902"/>
    <w:rsid w:val="00E60BE1"/>
    <w:rsid w:val="00E60C4B"/>
    <w:rsid w:val="00E60CEE"/>
    <w:rsid w:val="00E60E2C"/>
    <w:rsid w:val="00E60FDE"/>
    <w:rsid w:val="00E613BD"/>
    <w:rsid w:val="00E61562"/>
    <w:rsid w:val="00E61572"/>
    <w:rsid w:val="00E6172E"/>
    <w:rsid w:val="00E618F2"/>
    <w:rsid w:val="00E61912"/>
    <w:rsid w:val="00E6194A"/>
    <w:rsid w:val="00E61CC2"/>
    <w:rsid w:val="00E61D24"/>
    <w:rsid w:val="00E61EF7"/>
    <w:rsid w:val="00E61F17"/>
    <w:rsid w:val="00E6224B"/>
    <w:rsid w:val="00E62355"/>
    <w:rsid w:val="00E623DD"/>
    <w:rsid w:val="00E62419"/>
    <w:rsid w:val="00E62508"/>
    <w:rsid w:val="00E62652"/>
    <w:rsid w:val="00E6268C"/>
    <w:rsid w:val="00E628F4"/>
    <w:rsid w:val="00E6298B"/>
    <w:rsid w:val="00E62A05"/>
    <w:rsid w:val="00E62DCE"/>
    <w:rsid w:val="00E62E1D"/>
    <w:rsid w:val="00E62FDD"/>
    <w:rsid w:val="00E6343A"/>
    <w:rsid w:val="00E63944"/>
    <w:rsid w:val="00E63C00"/>
    <w:rsid w:val="00E63FFC"/>
    <w:rsid w:val="00E640A1"/>
    <w:rsid w:val="00E6413E"/>
    <w:rsid w:val="00E641E5"/>
    <w:rsid w:val="00E64346"/>
    <w:rsid w:val="00E644CD"/>
    <w:rsid w:val="00E6475C"/>
    <w:rsid w:val="00E64A80"/>
    <w:rsid w:val="00E64AA0"/>
    <w:rsid w:val="00E64AFE"/>
    <w:rsid w:val="00E64BEE"/>
    <w:rsid w:val="00E64C0D"/>
    <w:rsid w:val="00E64CBA"/>
    <w:rsid w:val="00E64D3A"/>
    <w:rsid w:val="00E64D7E"/>
    <w:rsid w:val="00E64EFA"/>
    <w:rsid w:val="00E651C8"/>
    <w:rsid w:val="00E6530E"/>
    <w:rsid w:val="00E657FD"/>
    <w:rsid w:val="00E658F4"/>
    <w:rsid w:val="00E65B32"/>
    <w:rsid w:val="00E65D27"/>
    <w:rsid w:val="00E65DEF"/>
    <w:rsid w:val="00E65F50"/>
    <w:rsid w:val="00E66427"/>
    <w:rsid w:val="00E6646A"/>
    <w:rsid w:val="00E66598"/>
    <w:rsid w:val="00E665C0"/>
    <w:rsid w:val="00E665FF"/>
    <w:rsid w:val="00E6667B"/>
    <w:rsid w:val="00E6676F"/>
    <w:rsid w:val="00E667D6"/>
    <w:rsid w:val="00E66819"/>
    <w:rsid w:val="00E66B5A"/>
    <w:rsid w:val="00E66BA6"/>
    <w:rsid w:val="00E66E61"/>
    <w:rsid w:val="00E66F12"/>
    <w:rsid w:val="00E6705F"/>
    <w:rsid w:val="00E674BC"/>
    <w:rsid w:val="00E67615"/>
    <w:rsid w:val="00E6779C"/>
    <w:rsid w:val="00E6780E"/>
    <w:rsid w:val="00E67977"/>
    <w:rsid w:val="00E67C3F"/>
    <w:rsid w:val="00E67D9E"/>
    <w:rsid w:val="00E67E04"/>
    <w:rsid w:val="00E67F53"/>
    <w:rsid w:val="00E701C0"/>
    <w:rsid w:val="00E70328"/>
    <w:rsid w:val="00E705C3"/>
    <w:rsid w:val="00E70AC9"/>
    <w:rsid w:val="00E70AEB"/>
    <w:rsid w:val="00E70B19"/>
    <w:rsid w:val="00E70B6D"/>
    <w:rsid w:val="00E70BEC"/>
    <w:rsid w:val="00E70DDB"/>
    <w:rsid w:val="00E70FA1"/>
    <w:rsid w:val="00E70FB2"/>
    <w:rsid w:val="00E71020"/>
    <w:rsid w:val="00E7108F"/>
    <w:rsid w:val="00E710E4"/>
    <w:rsid w:val="00E71426"/>
    <w:rsid w:val="00E71914"/>
    <w:rsid w:val="00E71A45"/>
    <w:rsid w:val="00E71A64"/>
    <w:rsid w:val="00E71D42"/>
    <w:rsid w:val="00E71DAF"/>
    <w:rsid w:val="00E71E7B"/>
    <w:rsid w:val="00E72509"/>
    <w:rsid w:val="00E72518"/>
    <w:rsid w:val="00E72594"/>
    <w:rsid w:val="00E725F4"/>
    <w:rsid w:val="00E7260A"/>
    <w:rsid w:val="00E7261C"/>
    <w:rsid w:val="00E726A1"/>
    <w:rsid w:val="00E7271C"/>
    <w:rsid w:val="00E72938"/>
    <w:rsid w:val="00E7296E"/>
    <w:rsid w:val="00E72989"/>
    <w:rsid w:val="00E72A18"/>
    <w:rsid w:val="00E72AF5"/>
    <w:rsid w:val="00E72D5F"/>
    <w:rsid w:val="00E72D87"/>
    <w:rsid w:val="00E72EC7"/>
    <w:rsid w:val="00E72FA8"/>
    <w:rsid w:val="00E73045"/>
    <w:rsid w:val="00E7319B"/>
    <w:rsid w:val="00E73210"/>
    <w:rsid w:val="00E733A0"/>
    <w:rsid w:val="00E734A8"/>
    <w:rsid w:val="00E734EA"/>
    <w:rsid w:val="00E73522"/>
    <w:rsid w:val="00E73705"/>
    <w:rsid w:val="00E73786"/>
    <w:rsid w:val="00E738CF"/>
    <w:rsid w:val="00E73E3B"/>
    <w:rsid w:val="00E73EA7"/>
    <w:rsid w:val="00E74090"/>
    <w:rsid w:val="00E74241"/>
    <w:rsid w:val="00E74246"/>
    <w:rsid w:val="00E743EF"/>
    <w:rsid w:val="00E7451D"/>
    <w:rsid w:val="00E7473D"/>
    <w:rsid w:val="00E74747"/>
    <w:rsid w:val="00E749CC"/>
    <w:rsid w:val="00E749D1"/>
    <w:rsid w:val="00E74EAA"/>
    <w:rsid w:val="00E74EE7"/>
    <w:rsid w:val="00E74F82"/>
    <w:rsid w:val="00E74F9F"/>
    <w:rsid w:val="00E74FC7"/>
    <w:rsid w:val="00E7505C"/>
    <w:rsid w:val="00E7529B"/>
    <w:rsid w:val="00E753DF"/>
    <w:rsid w:val="00E75450"/>
    <w:rsid w:val="00E754BE"/>
    <w:rsid w:val="00E75F39"/>
    <w:rsid w:val="00E75FC5"/>
    <w:rsid w:val="00E76018"/>
    <w:rsid w:val="00E7614B"/>
    <w:rsid w:val="00E761C2"/>
    <w:rsid w:val="00E761C6"/>
    <w:rsid w:val="00E761F6"/>
    <w:rsid w:val="00E761FF"/>
    <w:rsid w:val="00E76761"/>
    <w:rsid w:val="00E76794"/>
    <w:rsid w:val="00E7680D"/>
    <w:rsid w:val="00E76AA9"/>
    <w:rsid w:val="00E76F4E"/>
    <w:rsid w:val="00E770D0"/>
    <w:rsid w:val="00E771EF"/>
    <w:rsid w:val="00E778E1"/>
    <w:rsid w:val="00E77B9B"/>
    <w:rsid w:val="00E77CA1"/>
    <w:rsid w:val="00E77D99"/>
    <w:rsid w:val="00E77FB2"/>
    <w:rsid w:val="00E80070"/>
    <w:rsid w:val="00E801A8"/>
    <w:rsid w:val="00E80329"/>
    <w:rsid w:val="00E80359"/>
    <w:rsid w:val="00E803B8"/>
    <w:rsid w:val="00E80499"/>
    <w:rsid w:val="00E80769"/>
    <w:rsid w:val="00E8080B"/>
    <w:rsid w:val="00E80990"/>
    <w:rsid w:val="00E809AE"/>
    <w:rsid w:val="00E809E1"/>
    <w:rsid w:val="00E80BA0"/>
    <w:rsid w:val="00E80F83"/>
    <w:rsid w:val="00E81047"/>
    <w:rsid w:val="00E8109D"/>
    <w:rsid w:val="00E81230"/>
    <w:rsid w:val="00E812D1"/>
    <w:rsid w:val="00E81308"/>
    <w:rsid w:val="00E8130A"/>
    <w:rsid w:val="00E8144D"/>
    <w:rsid w:val="00E818CE"/>
    <w:rsid w:val="00E81948"/>
    <w:rsid w:val="00E8194E"/>
    <w:rsid w:val="00E81A2A"/>
    <w:rsid w:val="00E81C93"/>
    <w:rsid w:val="00E81D35"/>
    <w:rsid w:val="00E81E32"/>
    <w:rsid w:val="00E81EC2"/>
    <w:rsid w:val="00E81F81"/>
    <w:rsid w:val="00E81FE7"/>
    <w:rsid w:val="00E82265"/>
    <w:rsid w:val="00E82308"/>
    <w:rsid w:val="00E825B2"/>
    <w:rsid w:val="00E82672"/>
    <w:rsid w:val="00E826F2"/>
    <w:rsid w:val="00E829AF"/>
    <w:rsid w:val="00E82CAC"/>
    <w:rsid w:val="00E82F09"/>
    <w:rsid w:val="00E82F57"/>
    <w:rsid w:val="00E830B0"/>
    <w:rsid w:val="00E830B3"/>
    <w:rsid w:val="00E83168"/>
    <w:rsid w:val="00E83277"/>
    <w:rsid w:val="00E8327F"/>
    <w:rsid w:val="00E832DD"/>
    <w:rsid w:val="00E83477"/>
    <w:rsid w:val="00E836B8"/>
    <w:rsid w:val="00E8376D"/>
    <w:rsid w:val="00E837D5"/>
    <w:rsid w:val="00E83936"/>
    <w:rsid w:val="00E83B2A"/>
    <w:rsid w:val="00E83DB0"/>
    <w:rsid w:val="00E83F40"/>
    <w:rsid w:val="00E83FA8"/>
    <w:rsid w:val="00E83FC0"/>
    <w:rsid w:val="00E840CA"/>
    <w:rsid w:val="00E841F8"/>
    <w:rsid w:val="00E842AB"/>
    <w:rsid w:val="00E843C0"/>
    <w:rsid w:val="00E844EF"/>
    <w:rsid w:val="00E84721"/>
    <w:rsid w:val="00E84A2D"/>
    <w:rsid w:val="00E84AE8"/>
    <w:rsid w:val="00E84E1C"/>
    <w:rsid w:val="00E8517F"/>
    <w:rsid w:val="00E85196"/>
    <w:rsid w:val="00E8519A"/>
    <w:rsid w:val="00E851CF"/>
    <w:rsid w:val="00E851F0"/>
    <w:rsid w:val="00E8529D"/>
    <w:rsid w:val="00E853F2"/>
    <w:rsid w:val="00E854E9"/>
    <w:rsid w:val="00E85745"/>
    <w:rsid w:val="00E85924"/>
    <w:rsid w:val="00E85AED"/>
    <w:rsid w:val="00E85E57"/>
    <w:rsid w:val="00E85E61"/>
    <w:rsid w:val="00E85E84"/>
    <w:rsid w:val="00E85E8C"/>
    <w:rsid w:val="00E85EDD"/>
    <w:rsid w:val="00E85FFA"/>
    <w:rsid w:val="00E86128"/>
    <w:rsid w:val="00E86149"/>
    <w:rsid w:val="00E86342"/>
    <w:rsid w:val="00E8656E"/>
    <w:rsid w:val="00E866F8"/>
    <w:rsid w:val="00E86760"/>
    <w:rsid w:val="00E86924"/>
    <w:rsid w:val="00E86A8D"/>
    <w:rsid w:val="00E86A90"/>
    <w:rsid w:val="00E86AE1"/>
    <w:rsid w:val="00E86B1D"/>
    <w:rsid w:val="00E86BD5"/>
    <w:rsid w:val="00E86CBD"/>
    <w:rsid w:val="00E86CE5"/>
    <w:rsid w:val="00E86DCD"/>
    <w:rsid w:val="00E86ECB"/>
    <w:rsid w:val="00E86FF3"/>
    <w:rsid w:val="00E870F6"/>
    <w:rsid w:val="00E871F4"/>
    <w:rsid w:val="00E87353"/>
    <w:rsid w:val="00E87560"/>
    <w:rsid w:val="00E875DC"/>
    <w:rsid w:val="00E87AAE"/>
    <w:rsid w:val="00E87D05"/>
    <w:rsid w:val="00E87D15"/>
    <w:rsid w:val="00E87D2A"/>
    <w:rsid w:val="00E87DEA"/>
    <w:rsid w:val="00E87EA8"/>
    <w:rsid w:val="00E9001F"/>
    <w:rsid w:val="00E90069"/>
    <w:rsid w:val="00E903F4"/>
    <w:rsid w:val="00E903F7"/>
    <w:rsid w:val="00E90629"/>
    <w:rsid w:val="00E90703"/>
    <w:rsid w:val="00E907A7"/>
    <w:rsid w:val="00E907B8"/>
    <w:rsid w:val="00E907BA"/>
    <w:rsid w:val="00E9081B"/>
    <w:rsid w:val="00E90ACC"/>
    <w:rsid w:val="00E90BD6"/>
    <w:rsid w:val="00E90D1F"/>
    <w:rsid w:val="00E90E5C"/>
    <w:rsid w:val="00E9103E"/>
    <w:rsid w:val="00E910AE"/>
    <w:rsid w:val="00E910CF"/>
    <w:rsid w:val="00E91186"/>
    <w:rsid w:val="00E914F8"/>
    <w:rsid w:val="00E91723"/>
    <w:rsid w:val="00E917D0"/>
    <w:rsid w:val="00E91873"/>
    <w:rsid w:val="00E919D4"/>
    <w:rsid w:val="00E91A50"/>
    <w:rsid w:val="00E91B50"/>
    <w:rsid w:val="00E91BBD"/>
    <w:rsid w:val="00E91BD7"/>
    <w:rsid w:val="00E91D41"/>
    <w:rsid w:val="00E920DA"/>
    <w:rsid w:val="00E92183"/>
    <w:rsid w:val="00E92187"/>
    <w:rsid w:val="00E922F9"/>
    <w:rsid w:val="00E923CD"/>
    <w:rsid w:val="00E92420"/>
    <w:rsid w:val="00E92564"/>
    <w:rsid w:val="00E9269C"/>
    <w:rsid w:val="00E926C6"/>
    <w:rsid w:val="00E927DD"/>
    <w:rsid w:val="00E927E5"/>
    <w:rsid w:val="00E928DB"/>
    <w:rsid w:val="00E92D0B"/>
    <w:rsid w:val="00E92F50"/>
    <w:rsid w:val="00E931D8"/>
    <w:rsid w:val="00E932E3"/>
    <w:rsid w:val="00E932FE"/>
    <w:rsid w:val="00E93340"/>
    <w:rsid w:val="00E933F6"/>
    <w:rsid w:val="00E93410"/>
    <w:rsid w:val="00E934AB"/>
    <w:rsid w:val="00E93550"/>
    <w:rsid w:val="00E93750"/>
    <w:rsid w:val="00E93822"/>
    <w:rsid w:val="00E93C94"/>
    <w:rsid w:val="00E93D28"/>
    <w:rsid w:val="00E93DC8"/>
    <w:rsid w:val="00E941E0"/>
    <w:rsid w:val="00E94249"/>
    <w:rsid w:val="00E9426A"/>
    <w:rsid w:val="00E94336"/>
    <w:rsid w:val="00E94365"/>
    <w:rsid w:val="00E94388"/>
    <w:rsid w:val="00E94715"/>
    <w:rsid w:val="00E948CB"/>
    <w:rsid w:val="00E94969"/>
    <w:rsid w:val="00E9498B"/>
    <w:rsid w:val="00E94A79"/>
    <w:rsid w:val="00E94E39"/>
    <w:rsid w:val="00E94F17"/>
    <w:rsid w:val="00E955ED"/>
    <w:rsid w:val="00E9588D"/>
    <w:rsid w:val="00E958F1"/>
    <w:rsid w:val="00E9591C"/>
    <w:rsid w:val="00E95AAA"/>
    <w:rsid w:val="00E95AAC"/>
    <w:rsid w:val="00E95D4F"/>
    <w:rsid w:val="00E95F74"/>
    <w:rsid w:val="00E95F7B"/>
    <w:rsid w:val="00E95FAC"/>
    <w:rsid w:val="00E9605B"/>
    <w:rsid w:val="00E96399"/>
    <w:rsid w:val="00E9674D"/>
    <w:rsid w:val="00E96E60"/>
    <w:rsid w:val="00E96F4D"/>
    <w:rsid w:val="00E9707A"/>
    <w:rsid w:val="00E9737B"/>
    <w:rsid w:val="00E9760E"/>
    <w:rsid w:val="00E9780B"/>
    <w:rsid w:val="00E979F3"/>
    <w:rsid w:val="00E97CDF"/>
    <w:rsid w:val="00E97EAA"/>
    <w:rsid w:val="00E97F2A"/>
    <w:rsid w:val="00E97FDC"/>
    <w:rsid w:val="00EA0211"/>
    <w:rsid w:val="00EA0216"/>
    <w:rsid w:val="00EA03A5"/>
    <w:rsid w:val="00EA057F"/>
    <w:rsid w:val="00EA0620"/>
    <w:rsid w:val="00EA06B3"/>
    <w:rsid w:val="00EA07D7"/>
    <w:rsid w:val="00EA084D"/>
    <w:rsid w:val="00EA0887"/>
    <w:rsid w:val="00EA0975"/>
    <w:rsid w:val="00EA0C56"/>
    <w:rsid w:val="00EA0FDE"/>
    <w:rsid w:val="00EA1081"/>
    <w:rsid w:val="00EA1487"/>
    <w:rsid w:val="00EA16E5"/>
    <w:rsid w:val="00EA17C1"/>
    <w:rsid w:val="00EA1801"/>
    <w:rsid w:val="00EA1B4E"/>
    <w:rsid w:val="00EA1BF1"/>
    <w:rsid w:val="00EA1F44"/>
    <w:rsid w:val="00EA205F"/>
    <w:rsid w:val="00EA20C3"/>
    <w:rsid w:val="00EA20E8"/>
    <w:rsid w:val="00EA21CF"/>
    <w:rsid w:val="00EA23B2"/>
    <w:rsid w:val="00EA23B6"/>
    <w:rsid w:val="00EA23FE"/>
    <w:rsid w:val="00EA250C"/>
    <w:rsid w:val="00EA25E7"/>
    <w:rsid w:val="00EA2930"/>
    <w:rsid w:val="00EA2941"/>
    <w:rsid w:val="00EA2949"/>
    <w:rsid w:val="00EA2987"/>
    <w:rsid w:val="00EA2A56"/>
    <w:rsid w:val="00EA2B06"/>
    <w:rsid w:val="00EA3153"/>
    <w:rsid w:val="00EA3206"/>
    <w:rsid w:val="00EA327F"/>
    <w:rsid w:val="00EA3421"/>
    <w:rsid w:val="00EA343F"/>
    <w:rsid w:val="00EA3605"/>
    <w:rsid w:val="00EA370F"/>
    <w:rsid w:val="00EA3B11"/>
    <w:rsid w:val="00EA3BA9"/>
    <w:rsid w:val="00EA3E12"/>
    <w:rsid w:val="00EA3E30"/>
    <w:rsid w:val="00EA3F18"/>
    <w:rsid w:val="00EA3FBE"/>
    <w:rsid w:val="00EA3FEB"/>
    <w:rsid w:val="00EA4376"/>
    <w:rsid w:val="00EA43E7"/>
    <w:rsid w:val="00EA43EB"/>
    <w:rsid w:val="00EA4421"/>
    <w:rsid w:val="00EA457A"/>
    <w:rsid w:val="00EA47C0"/>
    <w:rsid w:val="00EA4936"/>
    <w:rsid w:val="00EA49AE"/>
    <w:rsid w:val="00EA4EC3"/>
    <w:rsid w:val="00EA4ECC"/>
    <w:rsid w:val="00EA4F0F"/>
    <w:rsid w:val="00EA4FCE"/>
    <w:rsid w:val="00EA5093"/>
    <w:rsid w:val="00EA5094"/>
    <w:rsid w:val="00EA542A"/>
    <w:rsid w:val="00EA551A"/>
    <w:rsid w:val="00EA5599"/>
    <w:rsid w:val="00EA560A"/>
    <w:rsid w:val="00EA5718"/>
    <w:rsid w:val="00EA584B"/>
    <w:rsid w:val="00EA5898"/>
    <w:rsid w:val="00EA5942"/>
    <w:rsid w:val="00EA5C21"/>
    <w:rsid w:val="00EA5C23"/>
    <w:rsid w:val="00EA5C3A"/>
    <w:rsid w:val="00EA5F59"/>
    <w:rsid w:val="00EA5FD6"/>
    <w:rsid w:val="00EA5FF4"/>
    <w:rsid w:val="00EA628B"/>
    <w:rsid w:val="00EA6292"/>
    <w:rsid w:val="00EA63A6"/>
    <w:rsid w:val="00EA64C7"/>
    <w:rsid w:val="00EA654F"/>
    <w:rsid w:val="00EA65C3"/>
    <w:rsid w:val="00EA67DB"/>
    <w:rsid w:val="00EA6819"/>
    <w:rsid w:val="00EA6864"/>
    <w:rsid w:val="00EA6A9E"/>
    <w:rsid w:val="00EA6AA9"/>
    <w:rsid w:val="00EA6C1F"/>
    <w:rsid w:val="00EA6C50"/>
    <w:rsid w:val="00EA6CD6"/>
    <w:rsid w:val="00EA6D6D"/>
    <w:rsid w:val="00EA7174"/>
    <w:rsid w:val="00EA71B2"/>
    <w:rsid w:val="00EA71E6"/>
    <w:rsid w:val="00EA730A"/>
    <w:rsid w:val="00EA7602"/>
    <w:rsid w:val="00EA765B"/>
    <w:rsid w:val="00EA7885"/>
    <w:rsid w:val="00EA7963"/>
    <w:rsid w:val="00EA7A29"/>
    <w:rsid w:val="00EA7B6B"/>
    <w:rsid w:val="00EA7D2F"/>
    <w:rsid w:val="00EA7E77"/>
    <w:rsid w:val="00EA7FFD"/>
    <w:rsid w:val="00EB00D8"/>
    <w:rsid w:val="00EB00FE"/>
    <w:rsid w:val="00EB0133"/>
    <w:rsid w:val="00EB01CD"/>
    <w:rsid w:val="00EB0517"/>
    <w:rsid w:val="00EB0562"/>
    <w:rsid w:val="00EB0577"/>
    <w:rsid w:val="00EB05BD"/>
    <w:rsid w:val="00EB06B2"/>
    <w:rsid w:val="00EB0951"/>
    <w:rsid w:val="00EB0C4F"/>
    <w:rsid w:val="00EB1158"/>
    <w:rsid w:val="00EB1358"/>
    <w:rsid w:val="00EB138C"/>
    <w:rsid w:val="00EB13E6"/>
    <w:rsid w:val="00EB147D"/>
    <w:rsid w:val="00EB14E4"/>
    <w:rsid w:val="00EB14E6"/>
    <w:rsid w:val="00EB15EC"/>
    <w:rsid w:val="00EB15F1"/>
    <w:rsid w:val="00EB179F"/>
    <w:rsid w:val="00EB1821"/>
    <w:rsid w:val="00EB1BCC"/>
    <w:rsid w:val="00EB1E3A"/>
    <w:rsid w:val="00EB1E80"/>
    <w:rsid w:val="00EB1EC0"/>
    <w:rsid w:val="00EB20C5"/>
    <w:rsid w:val="00EB228C"/>
    <w:rsid w:val="00EB2378"/>
    <w:rsid w:val="00EB23FB"/>
    <w:rsid w:val="00EB24D2"/>
    <w:rsid w:val="00EB254D"/>
    <w:rsid w:val="00EB25FF"/>
    <w:rsid w:val="00EB2674"/>
    <w:rsid w:val="00EB27CA"/>
    <w:rsid w:val="00EB27D2"/>
    <w:rsid w:val="00EB2C2B"/>
    <w:rsid w:val="00EB2CD7"/>
    <w:rsid w:val="00EB2D9A"/>
    <w:rsid w:val="00EB2ED7"/>
    <w:rsid w:val="00EB2F40"/>
    <w:rsid w:val="00EB2FC8"/>
    <w:rsid w:val="00EB2FF4"/>
    <w:rsid w:val="00EB30E6"/>
    <w:rsid w:val="00EB31FD"/>
    <w:rsid w:val="00EB330C"/>
    <w:rsid w:val="00EB3329"/>
    <w:rsid w:val="00EB35DF"/>
    <w:rsid w:val="00EB3840"/>
    <w:rsid w:val="00EB3AA1"/>
    <w:rsid w:val="00EB3D3B"/>
    <w:rsid w:val="00EB4093"/>
    <w:rsid w:val="00EB4195"/>
    <w:rsid w:val="00EB44AE"/>
    <w:rsid w:val="00EB453F"/>
    <w:rsid w:val="00EB4C51"/>
    <w:rsid w:val="00EB5075"/>
    <w:rsid w:val="00EB50D9"/>
    <w:rsid w:val="00EB513D"/>
    <w:rsid w:val="00EB5289"/>
    <w:rsid w:val="00EB550C"/>
    <w:rsid w:val="00EB5824"/>
    <w:rsid w:val="00EB58AE"/>
    <w:rsid w:val="00EB59B4"/>
    <w:rsid w:val="00EB59F9"/>
    <w:rsid w:val="00EB5A01"/>
    <w:rsid w:val="00EB5BB1"/>
    <w:rsid w:val="00EB5D5C"/>
    <w:rsid w:val="00EB605A"/>
    <w:rsid w:val="00EB6065"/>
    <w:rsid w:val="00EB6165"/>
    <w:rsid w:val="00EB62E0"/>
    <w:rsid w:val="00EB64AB"/>
    <w:rsid w:val="00EB6717"/>
    <w:rsid w:val="00EB67DF"/>
    <w:rsid w:val="00EB682D"/>
    <w:rsid w:val="00EB696F"/>
    <w:rsid w:val="00EB6B20"/>
    <w:rsid w:val="00EB6BA5"/>
    <w:rsid w:val="00EB6D7F"/>
    <w:rsid w:val="00EB6EB5"/>
    <w:rsid w:val="00EB6EFB"/>
    <w:rsid w:val="00EB7036"/>
    <w:rsid w:val="00EB709C"/>
    <w:rsid w:val="00EB7124"/>
    <w:rsid w:val="00EB726A"/>
    <w:rsid w:val="00EB72D6"/>
    <w:rsid w:val="00EB74EF"/>
    <w:rsid w:val="00EB7621"/>
    <w:rsid w:val="00EB77C2"/>
    <w:rsid w:val="00EB7933"/>
    <w:rsid w:val="00EB7A17"/>
    <w:rsid w:val="00EB7BD1"/>
    <w:rsid w:val="00EB7E52"/>
    <w:rsid w:val="00EB7E5C"/>
    <w:rsid w:val="00EB7F01"/>
    <w:rsid w:val="00EC000D"/>
    <w:rsid w:val="00EC00A1"/>
    <w:rsid w:val="00EC0430"/>
    <w:rsid w:val="00EC0598"/>
    <w:rsid w:val="00EC07BE"/>
    <w:rsid w:val="00EC099D"/>
    <w:rsid w:val="00EC09BB"/>
    <w:rsid w:val="00EC09C9"/>
    <w:rsid w:val="00EC0BA6"/>
    <w:rsid w:val="00EC0CD6"/>
    <w:rsid w:val="00EC0D64"/>
    <w:rsid w:val="00EC0DB3"/>
    <w:rsid w:val="00EC0E8A"/>
    <w:rsid w:val="00EC1111"/>
    <w:rsid w:val="00EC1911"/>
    <w:rsid w:val="00EC19CD"/>
    <w:rsid w:val="00EC19F8"/>
    <w:rsid w:val="00EC1A1A"/>
    <w:rsid w:val="00EC1B7B"/>
    <w:rsid w:val="00EC1BA1"/>
    <w:rsid w:val="00EC1C4B"/>
    <w:rsid w:val="00EC1CC1"/>
    <w:rsid w:val="00EC1E36"/>
    <w:rsid w:val="00EC1E8F"/>
    <w:rsid w:val="00EC1F64"/>
    <w:rsid w:val="00EC2008"/>
    <w:rsid w:val="00EC209E"/>
    <w:rsid w:val="00EC22F1"/>
    <w:rsid w:val="00EC22F7"/>
    <w:rsid w:val="00EC25FA"/>
    <w:rsid w:val="00EC2966"/>
    <w:rsid w:val="00EC2ADF"/>
    <w:rsid w:val="00EC2B8E"/>
    <w:rsid w:val="00EC2D65"/>
    <w:rsid w:val="00EC2E87"/>
    <w:rsid w:val="00EC3016"/>
    <w:rsid w:val="00EC315A"/>
    <w:rsid w:val="00EC368A"/>
    <w:rsid w:val="00EC368E"/>
    <w:rsid w:val="00EC38F3"/>
    <w:rsid w:val="00EC3A60"/>
    <w:rsid w:val="00EC3C0D"/>
    <w:rsid w:val="00EC3D7A"/>
    <w:rsid w:val="00EC3E0A"/>
    <w:rsid w:val="00EC4015"/>
    <w:rsid w:val="00EC42AB"/>
    <w:rsid w:val="00EC4381"/>
    <w:rsid w:val="00EC4901"/>
    <w:rsid w:val="00EC49CD"/>
    <w:rsid w:val="00EC4FEA"/>
    <w:rsid w:val="00EC52E3"/>
    <w:rsid w:val="00EC52EC"/>
    <w:rsid w:val="00EC5419"/>
    <w:rsid w:val="00EC552F"/>
    <w:rsid w:val="00EC563C"/>
    <w:rsid w:val="00EC57C4"/>
    <w:rsid w:val="00EC58B8"/>
    <w:rsid w:val="00EC5956"/>
    <w:rsid w:val="00EC5B19"/>
    <w:rsid w:val="00EC5F65"/>
    <w:rsid w:val="00EC61A9"/>
    <w:rsid w:val="00EC6265"/>
    <w:rsid w:val="00EC6368"/>
    <w:rsid w:val="00EC63FB"/>
    <w:rsid w:val="00EC64EE"/>
    <w:rsid w:val="00EC6518"/>
    <w:rsid w:val="00EC651A"/>
    <w:rsid w:val="00EC660A"/>
    <w:rsid w:val="00EC68E3"/>
    <w:rsid w:val="00EC69C0"/>
    <w:rsid w:val="00EC6B44"/>
    <w:rsid w:val="00EC6B8B"/>
    <w:rsid w:val="00EC6BDB"/>
    <w:rsid w:val="00EC6C6C"/>
    <w:rsid w:val="00EC7456"/>
    <w:rsid w:val="00EC78D1"/>
    <w:rsid w:val="00EC7A5E"/>
    <w:rsid w:val="00EC7CC8"/>
    <w:rsid w:val="00EC7D05"/>
    <w:rsid w:val="00EC7E47"/>
    <w:rsid w:val="00ED0176"/>
    <w:rsid w:val="00ED03A9"/>
    <w:rsid w:val="00ED03E9"/>
    <w:rsid w:val="00ED0613"/>
    <w:rsid w:val="00ED08C9"/>
    <w:rsid w:val="00ED09F3"/>
    <w:rsid w:val="00ED0BB6"/>
    <w:rsid w:val="00ED0C0C"/>
    <w:rsid w:val="00ED0E67"/>
    <w:rsid w:val="00ED1139"/>
    <w:rsid w:val="00ED1141"/>
    <w:rsid w:val="00ED1243"/>
    <w:rsid w:val="00ED13AC"/>
    <w:rsid w:val="00ED13C8"/>
    <w:rsid w:val="00ED16EF"/>
    <w:rsid w:val="00ED17D9"/>
    <w:rsid w:val="00ED181F"/>
    <w:rsid w:val="00ED1971"/>
    <w:rsid w:val="00ED1AE0"/>
    <w:rsid w:val="00ED1C9D"/>
    <w:rsid w:val="00ED2053"/>
    <w:rsid w:val="00ED213A"/>
    <w:rsid w:val="00ED21CB"/>
    <w:rsid w:val="00ED2568"/>
    <w:rsid w:val="00ED2586"/>
    <w:rsid w:val="00ED25A5"/>
    <w:rsid w:val="00ED278F"/>
    <w:rsid w:val="00ED2892"/>
    <w:rsid w:val="00ED2B96"/>
    <w:rsid w:val="00ED2CA7"/>
    <w:rsid w:val="00ED2CC2"/>
    <w:rsid w:val="00ED2DFB"/>
    <w:rsid w:val="00ED2FCC"/>
    <w:rsid w:val="00ED30D3"/>
    <w:rsid w:val="00ED3462"/>
    <w:rsid w:val="00ED3842"/>
    <w:rsid w:val="00ED3A81"/>
    <w:rsid w:val="00ED3C2A"/>
    <w:rsid w:val="00ED3C59"/>
    <w:rsid w:val="00ED3D66"/>
    <w:rsid w:val="00ED3ECF"/>
    <w:rsid w:val="00ED3EEC"/>
    <w:rsid w:val="00ED4002"/>
    <w:rsid w:val="00ED40E3"/>
    <w:rsid w:val="00ED42B7"/>
    <w:rsid w:val="00ED42E5"/>
    <w:rsid w:val="00ED43F8"/>
    <w:rsid w:val="00ED440D"/>
    <w:rsid w:val="00ED44E1"/>
    <w:rsid w:val="00ED4579"/>
    <w:rsid w:val="00ED45F3"/>
    <w:rsid w:val="00ED4746"/>
    <w:rsid w:val="00ED48A7"/>
    <w:rsid w:val="00ED48ED"/>
    <w:rsid w:val="00ED48F0"/>
    <w:rsid w:val="00ED4AA4"/>
    <w:rsid w:val="00ED4BB0"/>
    <w:rsid w:val="00ED4BE2"/>
    <w:rsid w:val="00ED4C20"/>
    <w:rsid w:val="00ED4D90"/>
    <w:rsid w:val="00ED4E91"/>
    <w:rsid w:val="00ED50F3"/>
    <w:rsid w:val="00ED51AF"/>
    <w:rsid w:val="00ED524B"/>
    <w:rsid w:val="00ED57BE"/>
    <w:rsid w:val="00ED5840"/>
    <w:rsid w:val="00ED587B"/>
    <w:rsid w:val="00ED5A32"/>
    <w:rsid w:val="00ED5B9E"/>
    <w:rsid w:val="00ED5D32"/>
    <w:rsid w:val="00ED605D"/>
    <w:rsid w:val="00ED67D2"/>
    <w:rsid w:val="00ED69C2"/>
    <w:rsid w:val="00ED6AD5"/>
    <w:rsid w:val="00ED6CCC"/>
    <w:rsid w:val="00ED6D4D"/>
    <w:rsid w:val="00ED6D6A"/>
    <w:rsid w:val="00ED6FB6"/>
    <w:rsid w:val="00ED7008"/>
    <w:rsid w:val="00ED704C"/>
    <w:rsid w:val="00ED708C"/>
    <w:rsid w:val="00ED711C"/>
    <w:rsid w:val="00ED711E"/>
    <w:rsid w:val="00ED71D0"/>
    <w:rsid w:val="00ED724C"/>
    <w:rsid w:val="00ED7274"/>
    <w:rsid w:val="00ED72E1"/>
    <w:rsid w:val="00ED7318"/>
    <w:rsid w:val="00ED73D9"/>
    <w:rsid w:val="00ED750D"/>
    <w:rsid w:val="00ED7B7B"/>
    <w:rsid w:val="00ED7CC9"/>
    <w:rsid w:val="00ED7E23"/>
    <w:rsid w:val="00ED7FFD"/>
    <w:rsid w:val="00EE00DF"/>
    <w:rsid w:val="00EE02A0"/>
    <w:rsid w:val="00EE05DC"/>
    <w:rsid w:val="00EE061D"/>
    <w:rsid w:val="00EE08EA"/>
    <w:rsid w:val="00EE0CA4"/>
    <w:rsid w:val="00EE0DF1"/>
    <w:rsid w:val="00EE0EEF"/>
    <w:rsid w:val="00EE11CD"/>
    <w:rsid w:val="00EE13BA"/>
    <w:rsid w:val="00EE13C8"/>
    <w:rsid w:val="00EE14FE"/>
    <w:rsid w:val="00EE15BF"/>
    <w:rsid w:val="00EE1A4D"/>
    <w:rsid w:val="00EE1C1B"/>
    <w:rsid w:val="00EE1CBA"/>
    <w:rsid w:val="00EE1DF4"/>
    <w:rsid w:val="00EE1FD0"/>
    <w:rsid w:val="00EE2008"/>
    <w:rsid w:val="00EE2054"/>
    <w:rsid w:val="00EE207F"/>
    <w:rsid w:val="00EE2382"/>
    <w:rsid w:val="00EE2517"/>
    <w:rsid w:val="00EE2596"/>
    <w:rsid w:val="00EE25F0"/>
    <w:rsid w:val="00EE2695"/>
    <w:rsid w:val="00EE28DA"/>
    <w:rsid w:val="00EE29CF"/>
    <w:rsid w:val="00EE2A1D"/>
    <w:rsid w:val="00EE2E0D"/>
    <w:rsid w:val="00EE2EE6"/>
    <w:rsid w:val="00EE3075"/>
    <w:rsid w:val="00EE31DC"/>
    <w:rsid w:val="00EE326F"/>
    <w:rsid w:val="00EE3374"/>
    <w:rsid w:val="00EE3393"/>
    <w:rsid w:val="00EE33CB"/>
    <w:rsid w:val="00EE33F3"/>
    <w:rsid w:val="00EE33FA"/>
    <w:rsid w:val="00EE3471"/>
    <w:rsid w:val="00EE350A"/>
    <w:rsid w:val="00EE361A"/>
    <w:rsid w:val="00EE38E8"/>
    <w:rsid w:val="00EE3CF3"/>
    <w:rsid w:val="00EE3E2C"/>
    <w:rsid w:val="00EE3F82"/>
    <w:rsid w:val="00EE402C"/>
    <w:rsid w:val="00EE409C"/>
    <w:rsid w:val="00EE41B8"/>
    <w:rsid w:val="00EE42AB"/>
    <w:rsid w:val="00EE43F4"/>
    <w:rsid w:val="00EE44D0"/>
    <w:rsid w:val="00EE44DE"/>
    <w:rsid w:val="00EE45C9"/>
    <w:rsid w:val="00EE4D90"/>
    <w:rsid w:val="00EE4E3E"/>
    <w:rsid w:val="00EE4EB3"/>
    <w:rsid w:val="00EE4F19"/>
    <w:rsid w:val="00EE5061"/>
    <w:rsid w:val="00EE510C"/>
    <w:rsid w:val="00EE527D"/>
    <w:rsid w:val="00EE5372"/>
    <w:rsid w:val="00EE5407"/>
    <w:rsid w:val="00EE541E"/>
    <w:rsid w:val="00EE548B"/>
    <w:rsid w:val="00EE5538"/>
    <w:rsid w:val="00EE574F"/>
    <w:rsid w:val="00EE587B"/>
    <w:rsid w:val="00EE58DE"/>
    <w:rsid w:val="00EE5C8A"/>
    <w:rsid w:val="00EE5CF1"/>
    <w:rsid w:val="00EE6082"/>
    <w:rsid w:val="00EE6083"/>
    <w:rsid w:val="00EE6440"/>
    <w:rsid w:val="00EE6C5D"/>
    <w:rsid w:val="00EE6CFF"/>
    <w:rsid w:val="00EE6FA6"/>
    <w:rsid w:val="00EE6FEF"/>
    <w:rsid w:val="00EE7133"/>
    <w:rsid w:val="00EE725B"/>
    <w:rsid w:val="00EE72BA"/>
    <w:rsid w:val="00EE7358"/>
    <w:rsid w:val="00EE7370"/>
    <w:rsid w:val="00EE73F3"/>
    <w:rsid w:val="00EE7456"/>
    <w:rsid w:val="00EE7524"/>
    <w:rsid w:val="00EE7AFF"/>
    <w:rsid w:val="00EE7C4B"/>
    <w:rsid w:val="00EE7E71"/>
    <w:rsid w:val="00EE7E82"/>
    <w:rsid w:val="00EF0295"/>
    <w:rsid w:val="00EF02D7"/>
    <w:rsid w:val="00EF02F0"/>
    <w:rsid w:val="00EF052F"/>
    <w:rsid w:val="00EF0595"/>
    <w:rsid w:val="00EF05EF"/>
    <w:rsid w:val="00EF06D5"/>
    <w:rsid w:val="00EF06EB"/>
    <w:rsid w:val="00EF0A1D"/>
    <w:rsid w:val="00EF0A70"/>
    <w:rsid w:val="00EF0B0D"/>
    <w:rsid w:val="00EF0B1E"/>
    <w:rsid w:val="00EF0BAA"/>
    <w:rsid w:val="00EF0F07"/>
    <w:rsid w:val="00EF11F6"/>
    <w:rsid w:val="00EF1852"/>
    <w:rsid w:val="00EF1AC7"/>
    <w:rsid w:val="00EF1D13"/>
    <w:rsid w:val="00EF1D35"/>
    <w:rsid w:val="00EF1FD2"/>
    <w:rsid w:val="00EF213A"/>
    <w:rsid w:val="00EF214F"/>
    <w:rsid w:val="00EF21FD"/>
    <w:rsid w:val="00EF257D"/>
    <w:rsid w:val="00EF2726"/>
    <w:rsid w:val="00EF277C"/>
    <w:rsid w:val="00EF278E"/>
    <w:rsid w:val="00EF2993"/>
    <w:rsid w:val="00EF29C8"/>
    <w:rsid w:val="00EF2B15"/>
    <w:rsid w:val="00EF2B9B"/>
    <w:rsid w:val="00EF2D82"/>
    <w:rsid w:val="00EF2E4E"/>
    <w:rsid w:val="00EF2F5C"/>
    <w:rsid w:val="00EF30EB"/>
    <w:rsid w:val="00EF3332"/>
    <w:rsid w:val="00EF33EC"/>
    <w:rsid w:val="00EF34A0"/>
    <w:rsid w:val="00EF3844"/>
    <w:rsid w:val="00EF38E9"/>
    <w:rsid w:val="00EF3998"/>
    <w:rsid w:val="00EF3ADE"/>
    <w:rsid w:val="00EF3C53"/>
    <w:rsid w:val="00EF3D9E"/>
    <w:rsid w:val="00EF4043"/>
    <w:rsid w:val="00EF4059"/>
    <w:rsid w:val="00EF41CC"/>
    <w:rsid w:val="00EF41E6"/>
    <w:rsid w:val="00EF42CE"/>
    <w:rsid w:val="00EF43D0"/>
    <w:rsid w:val="00EF4402"/>
    <w:rsid w:val="00EF455E"/>
    <w:rsid w:val="00EF477F"/>
    <w:rsid w:val="00EF483D"/>
    <w:rsid w:val="00EF49DA"/>
    <w:rsid w:val="00EF4A3F"/>
    <w:rsid w:val="00EF4AA4"/>
    <w:rsid w:val="00EF4ACF"/>
    <w:rsid w:val="00EF4B58"/>
    <w:rsid w:val="00EF4CEF"/>
    <w:rsid w:val="00EF4D89"/>
    <w:rsid w:val="00EF4F36"/>
    <w:rsid w:val="00EF532C"/>
    <w:rsid w:val="00EF53E0"/>
    <w:rsid w:val="00EF540E"/>
    <w:rsid w:val="00EF5472"/>
    <w:rsid w:val="00EF5599"/>
    <w:rsid w:val="00EF56C4"/>
    <w:rsid w:val="00EF56F0"/>
    <w:rsid w:val="00EF5874"/>
    <w:rsid w:val="00EF58BC"/>
    <w:rsid w:val="00EF598B"/>
    <w:rsid w:val="00EF5F91"/>
    <w:rsid w:val="00EF5FDB"/>
    <w:rsid w:val="00EF605A"/>
    <w:rsid w:val="00EF6202"/>
    <w:rsid w:val="00EF62A9"/>
    <w:rsid w:val="00EF645D"/>
    <w:rsid w:val="00EF652C"/>
    <w:rsid w:val="00EF6574"/>
    <w:rsid w:val="00EF6693"/>
    <w:rsid w:val="00EF66D0"/>
    <w:rsid w:val="00EF6714"/>
    <w:rsid w:val="00EF6A16"/>
    <w:rsid w:val="00EF6A4A"/>
    <w:rsid w:val="00EF6BE1"/>
    <w:rsid w:val="00EF6D06"/>
    <w:rsid w:val="00EF6DD7"/>
    <w:rsid w:val="00EF6EF4"/>
    <w:rsid w:val="00EF6FE2"/>
    <w:rsid w:val="00EF70E6"/>
    <w:rsid w:val="00EF7140"/>
    <w:rsid w:val="00EF72D2"/>
    <w:rsid w:val="00EF7536"/>
    <w:rsid w:val="00EF754B"/>
    <w:rsid w:val="00EF760B"/>
    <w:rsid w:val="00EF7926"/>
    <w:rsid w:val="00EF79F9"/>
    <w:rsid w:val="00EF7B00"/>
    <w:rsid w:val="00EF7B16"/>
    <w:rsid w:val="00EF7C01"/>
    <w:rsid w:val="00EF7C18"/>
    <w:rsid w:val="00EF7DC0"/>
    <w:rsid w:val="00EF7ED0"/>
    <w:rsid w:val="00EF7F47"/>
    <w:rsid w:val="00F00136"/>
    <w:rsid w:val="00F0038E"/>
    <w:rsid w:val="00F00483"/>
    <w:rsid w:val="00F006F8"/>
    <w:rsid w:val="00F007D6"/>
    <w:rsid w:val="00F0092B"/>
    <w:rsid w:val="00F00AA8"/>
    <w:rsid w:val="00F00B28"/>
    <w:rsid w:val="00F00B72"/>
    <w:rsid w:val="00F00C02"/>
    <w:rsid w:val="00F00DB4"/>
    <w:rsid w:val="00F00FA1"/>
    <w:rsid w:val="00F01208"/>
    <w:rsid w:val="00F01231"/>
    <w:rsid w:val="00F012FE"/>
    <w:rsid w:val="00F01333"/>
    <w:rsid w:val="00F01419"/>
    <w:rsid w:val="00F014EF"/>
    <w:rsid w:val="00F0150E"/>
    <w:rsid w:val="00F01541"/>
    <w:rsid w:val="00F01623"/>
    <w:rsid w:val="00F01682"/>
    <w:rsid w:val="00F016C9"/>
    <w:rsid w:val="00F016CA"/>
    <w:rsid w:val="00F0196F"/>
    <w:rsid w:val="00F019B3"/>
    <w:rsid w:val="00F01A1E"/>
    <w:rsid w:val="00F01A60"/>
    <w:rsid w:val="00F01B63"/>
    <w:rsid w:val="00F01CCC"/>
    <w:rsid w:val="00F01D5F"/>
    <w:rsid w:val="00F01EF5"/>
    <w:rsid w:val="00F021EA"/>
    <w:rsid w:val="00F02702"/>
    <w:rsid w:val="00F027C6"/>
    <w:rsid w:val="00F02B1E"/>
    <w:rsid w:val="00F02BEE"/>
    <w:rsid w:val="00F02CC5"/>
    <w:rsid w:val="00F02CE3"/>
    <w:rsid w:val="00F02DC8"/>
    <w:rsid w:val="00F02DE4"/>
    <w:rsid w:val="00F03136"/>
    <w:rsid w:val="00F0354C"/>
    <w:rsid w:val="00F03636"/>
    <w:rsid w:val="00F03641"/>
    <w:rsid w:val="00F0366C"/>
    <w:rsid w:val="00F036CE"/>
    <w:rsid w:val="00F0371D"/>
    <w:rsid w:val="00F037FC"/>
    <w:rsid w:val="00F038DF"/>
    <w:rsid w:val="00F03985"/>
    <w:rsid w:val="00F039AC"/>
    <w:rsid w:val="00F03A3C"/>
    <w:rsid w:val="00F03C9F"/>
    <w:rsid w:val="00F03CE2"/>
    <w:rsid w:val="00F03FBD"/>
    <w:rsid w:val="00F04094"/>
    <w:rsid w:val="00F04097"/>
    <w:rsid w:val="00F04126"/>
    <w:rsid w:val="00F0421E"/>
    <w:rsid w:val="00F042F6"/>
    <w:rsid w:val="00F04414"/>
    <w:rsid w:val="00F04769"/>
    <w:rsid w:val="00F0484F"/>
    <w:rsid w:val="00F04938"/>
    <w:rsid w:val="00F04B9B"/>
    <w:rsid w:val="00F04D56"/>
    <w:rsid w:val="00F04D81"/>
    <w:rsid w:val="00F04FB3"/>
    <w:rsid w:val="00F04FDB"/>
    <w:rsid w:val="00F0500D"/>
    <w:rsid w:val="00F05048"/>
    <w:rsid w:val="00F05095"/>
    <w:rsid w:val="00F052A4"/>
    <w:rsid w:val="00F05328"/>
    <w:rsid w:val="00F0540C"/>
    <w:rsid w:val="00F05534"/>
    <w:rsid w:val="00F05A93"/>
    <w:rsid w:val="00F05B68"/>
    <w:rsid w:val="00F05C23"/>
    <w:rsid w:val="00F05CF7"/>
    <w:rsid w:val="00F05DBC"/>
    <w:rsid w:val="00F05DD2"/>
    <w:rsid w:val="00F05E1B"/>
    <w:rsid w:val="00F05F34"/>
    <w:rsid w:val="00F06031"/>
    <w:rsid w:val="00F060AD"/>
    <w:rsid w:val="00F062CB"/>
    <w:rsid w:val="00F0654A"/>
    <w:rsid w:val="00F0677D"/>
    <w:rsid w:val="00F069E1"/>
    <w:rsid w:val="00F06AB0"/>
    <w:rsid w:val="00F06B6B"/>
    <w:rsid w:val="00F06CD2"/>
    <w:rsid w:val="00F06E12"/>
    <w:rsid w:val="00F06E24"/>
    <w:rsid w:val="00F072EC"/>
    <w:rsid w:val="00F0741F"/>
    <w:rsid w:val="00F0761C"/>
    <w:rsid w:val="00F07644"/>
    <w:rsid w:val="00F07762"/>
    <w:rsid w:val="00F07988"/>
    <w:rsid w:val="00F079E6"/>
    <w:rsid w:val="00F1006F"/>
    <w:rsid w:val="00F101A7"/>
    <w:rsid w:val="00F101D5"/>
    <w:rsid w:val="00F101E3"/>
    <w:rsid w:val="00F10252"/>
    <w:rsid w:val="00F10338"/>
    <w:rsid w:val="00F103F0"/>
    <w:rsid w:val="00F104D0"/>
    <w:rsid w:val="00F10715"/>
    <w:rsid w:val="00F10859"/>
    <w:rsid w:val="00F109AB"/>
    <w:rsid w:val="00F10ABF"/>
    <w:rsid w:val="00F10C0F"/>
    <w:rsid w:val="00F110BB"/>
    <w:rsid w:val="00F1113E"/>
    <w:rsid w:val="00F111D9"/>
    <w:rsid w:val="00F11280"/>
    <w:rsid w:val="00F114B3"/>
    <w:rsid w:val="00F1178B"/>
    <w:rsid w:val="00F11BAB"/>
    <w:rsid w:val="00F11E65"/>
    <w:rsid w:val="00F11EE8"/>
    <w:rsid w:val="00F12113"/>
    <w:rsid w:val="00F12365"/>
    <w:rsid w:val="00F1237C"/>
    <w:rsid w:val="00F124FD"/>
    <w:rsid w:val="00F12582"/>
    <w:rsid w:val="00F125CB"/>
    <w:rsid w:val="00F1260C"/>
    <w:rsid w:val="00F12706"/>
    <w:rsid w:val="00F12AFA"/>
    <w:rsid w:val="00F12D1A"/>
    <w:rsid w:val="00F12DF1"/>
    <w:rsid w:val="00F1300A"/>
    <w:rsid w:val="00F13078"/>
    <w:rsid w:val="00F1307A"/>
    <w:rsid w:val="00F13153"/>
    <w:rsid w:val="00F1317E"/>
    <w:rsid w:val="00F131FA"/>
    <w:rsid w:val="00F13225"/>
    <w:rsid w:val="00F13326"/>
    <w:rsid w:val="00F134D3"/>
    <w:rsid w:val="00F135D0"/>
    <w:rsid w:val="00F13A36"/>
    <w:rsid w:val="00F13A55"/>
    <w:rsid w:val="00F13DF8"/>
    <w:rsid w:val="00F13F1D"/>
    <w:rsid w:val="00F14052"/>
    <w:rsid w:val="00F1422C"/>
    <w:rsid w:val="00F143AD"/>
    <w:rsid w:val="00F147C2"/>
    <w:rsid w:val="00F14852"/>
    <w:rsid w:val="00F14887"/>
    <w:rsid w:val="00F14A99"/>
    <w:rsid w:val="00F14C71"/>
    <w:rsid w:val="00F14CB9"/>
    <w:rsid w:val="00F14DBB"/>
    <w:rsid w:val="00F1505D"/>
    <w:rsid w:val="00F1511D"/>
    <w:rsid w:val="00F152F0"/>
    <w:rsid w:val="00F15340"/>
    <w:rsid w:val="00F15543"/>
    <w:rsid w:val="00F1573C"/>
    <w:rsid w:val="00F15B77"/>
    <w:rsid w:val="00F15BE7"/>
    <w:rsid w:val="00F15C22"/>
    <w:rsid w:val="00F15F92"/>
    <w:rsid w:val="00F1677B"/>
    <w:rsid w:val="00F16780"/>
    <w:rsid w:val="00F168A0"/>
    <w:rsid w:val="00F1690B"/>
    <w:rsid w:val="00F16DFA"/>
    <w:rsid w:val="00F16E50"/>
    <w:rsid w:val="00F17026"/>
    <w:rsid w:val="00F1707B"/>
    <w:rsid w:val="00F171BE"/>
    <w:rsid w:val="00F1731D"/>
    <w:rsid w:val="00F17544"/>
    <w:rsid w:val="00F17854"/>
    <w:rsid w:val="00F17A06"/>
    <w:rsid w:val="00F17AAC"/>
    <w:rsid w:val="00F17AD7"/>
    <w:rsid w:val="00F17C0A"/>
    <w:rsid w:val="00F17C68"/>
    <w:rsid w:val="00F17C6D"/>
    <w:rsid w:val="00F17EF9"/>
    <w:rsid w:val="00F17FE8"/>
    <w:rsid w:val="00F20283"/>
    <w:rsid w:val="00F203F0"/>
    <w:rsid w:val="00F2087F"/>
    <w:rsid w:val="00F20B26"/>
    <w:rsid w:val="00F20E27"/>
    <w:rsid w:val="00F20E86"/>
    <w:rsid w:val="00F20ECF"/>
    <w:rsid w:val="00F2123E"/>
    <w:rsid w:val="00F21341"/>
    <w:rsid w:val="00F21401"/>
    <w:rsid w:val="00F2159E"/>
    <w:rsid w:val="00F2171B"/>
    <w:rsid w:val="00F2177B"/>
    <w:rsid w:val="00F21876"/>
    <w:rsid w:val="00F218C6"/>
    <w:rsid w:val="00F2197C"/>
    <w:rsid w:val="00F21A18"/>
    <w:rsid w:val="00F21A1F"/>
    <w:rsid w:val="00F21DBC"/>
    <w:rsid w:val="00F22074"/>
    <w:rsid w:val="00F22171"/>
    <w:rsid w:val="00F22267"/>
    <w:rsid w:val="00F22309"/>
    <w:rsid w:val="00F223F9"/>
    <w:rsid w:val="00F22648"/>
    <w:rsid w:val="00F229E9"/>
    <w:rsid w:val="00F22A01"/>
    <w:rsid w:val="00F22B01"/>
    <w:rsid w:val="00F22BA5"/>
    <w:rsid w:val="00F22BAC"/>
    <w:rsid w:val="00F22BED"/>
    <w:rsid w:val="00F22CDC"/>
    <w:rsid w:val="00F22D0B"/>
    <w:rsid w:val="00F22F1B"/>
    <w:rsid w:val="00F231AE"/>
    <w:rsid w:val="00F23264"/>
    <w:rsid w:val="00F234A9"/>
    <w:rsid w:val="00F234BE"/>
    <w:rsid w:val="00F235B7"/>
    <w:rsid w:val="00F235EC"/>
    <w:rsid w:val="00F2366E"/>
    <w:rsid w:val="00F23710"/>
    <w:rsid w:val="00F238E3"/>
    <w:rsid w:val="00F239C7"/>
    <w:rsid w:val="00F23A72"/>
    <w:rsid w:val="00F23AC5"/>
    <w:rsid w:val="00F23AE9"/>
    <w:rsid w:val="00F23C97"/>
    <w:rsid w:val="00F23CD9"/>
    <w:rsid w:val="00F23E1B"/>
    <w:rsid w:val="00F23EF8"/>
    <w:rsid w:val="00F23FB5"/>
    <w:rsid w:val="00F2401A"/>
    <w:rsid w:val="00F2402E"/>
    <w:rsid w:val="00F240BC"/>
    <w:rsid w:val="00F2412D"/>
    <w:rsid w:val="00F242D2"/>
    <w:rsid w:val="00F24511"/>
    <w:rsid w:val="00F24669"/>
    <w:rsid w:val="00F247EA"/>
    <w:rsid w:val="00F24A0C"/>
    <w:rsid w:val="00F24C85"/>
    <w:rsid w:val="00F24C93"/>
    <w:rsid w:val="00F24DBD"/>
    <w:rsid w:val="00F24DDF"/>
    <w:rsid w:val="00F25126"/>
    <w:rsid w:val="00F25285"/>
    <w:rsid w:val="00F255AF"/>
    <w:rsid w:val="00F25666"/>
    <w:rsid w:val="00F25824"/>
    <w:rsid w:val="00F25881"/>
    <w:rsid w:val="00F258CC"/>
    <w:rsid w:val="00F259E5"/>
    <w:rsid w:val="00F25A6F"/>
    <w:rsid w:val="00F25B52"/>
    <w:rsid w:val="00F25C3D"/>
    <w:rsid w:val="00F25DF2"/>
    <w:rsid w:val="00F25FDB"/>
    <w:rsid w:val="00F260AC"/>
    <w:rsid w:val="00F260D2"/>
    <w:rsid w:val="00F26292"/>
    <w:rsid w:val="00F264FF"/>
    <w:rsid w:val="00F26514"/>
    <w:rsid w:val="00F26617"/>
    <w:rsid w:val="00F26696"/>
    <w:rsid w:val="00F2683A"/>
    <w:rsid w:val="00F2683D"/>
    <w:rsid w:val="00F268C7"/>
    <w:rsid w:val="00F26CDC"/>
    <w:rsid w:val="00F26E09"/>
    <w:rsid w:val="00F26EB4"/>
    <w:rsid w:val="00F26F11"/>
    <w:rsid w:val="00F26F22"/>
    <w:rsid w:val="00F26F77"/>
    <w:rsid w:val="00F27218"/>
    <w:rsid w:val="00F27309"/>
    <w:rsid w:val="00F2735E"/>
    <w:rsid w:val="00F27404"/>
    <w:rsid w:val="00F276CB"/>
    <w:rsid w:val="00F27874"/>
    <w:rsid w:val="00F27906"/>
    <w:rsid w:val="00F27944"/>
    <w:rsid w:val="00F27B2E"/>
    <w:rsid w:val="00F27BA2"/>
    <w:rsid w:val="00F27C65"/>
    <w:rsid w:val="00F27C67"/>
    <w:rsid w:val="00F300BE"/>
    <w:rsid w:val="00F30319"/>
    <w:rsid w:val="00F3041B"/>
    <w:rsid w:val="00F305E2"/>
    <w:rsid w:val="00F306A4"/>
    <w:rsid w:val="00F306D3"/>
    <w:rsid w:val="00F308E6"/>
    <w:rsid w:val="00F309B3"/>
    <w:rsid w:val="00F30A54"/>
    <w:rsid w:val="00F30ACE"/>
    <w:rsid w:val="00F30AE8"/>
    <w:rsid w:val="00F30C57"/>
    <w:rsid w:val="00F30D1C"/>
    <w:rsid w:val="00F30D4F"/>
    <w:rsid w:val="00F30D83"/>
    <w:rsid w:val="00F30DC2"/>
    <w:rsid w:val="00F30DC3"/>
    <w:rsid w:val="00F30EB5"/>
    <w:rsid w:val="00F31089"/>
    <w:rsid w:val="00F31177"/>
    <w:rsid w:val="00F311C8"/>
    <w:rsid w:val="00F31679"/>
    <w:rsid w:val="00F316DE"/>
    <w:rsid w:val="00F317E7"/>
    <w:rsid w:val="00F3189B"/>
    <w:rsid w:val="00F3199E"/>
    <w:rsid w:val="00F319B5"/>
    <w:rsid w:val="00F31B12"/>
    <w:rsid w:val="00F31C57"/>
    <w:rsid w:val="00F31DC4"/>
    <w:rsid w:val="00F31E72"/>
    <w:rsid w:val="00F32340"/>
    <w:rsid w:val="00F3237F"/>
    <w:rsid w:val="00F324E5"/>
    <w:rsid w:val="00F3268B"/>
    <w:rsid w:val="00F3281D"/>
    <w:rsid w:val="00F32912"/>
    <w:rsid w:val="00F32971"/>
    <w:rsid w:val="00F32DE1"/>
    <w:rsid w:val="00F32E47"/>
    <w:rsid w:val="00F32F62"/>
    <w:rsid w:val="00F32FD3"/>
    <w:rsid w:val="00F333BB"/>
    <w:rsid w:val="00F33446"/>
    <w:rsid w:val="00F337F4"/>
    <w:rsid w:val="00F338FE"/>
    <w:rsid w:val="00F33BF1"/>
    <w:rsid w:val="00F33BF8"/>
    <w:rsid w:val="00F33D15"/>
    <w:rsid w:val="00F33E95"/>
    <w:rsid w:val="00F33EB6"/>
    <w:rsid w:val="00F343C2"/>
    <w:rsid w:val="00F34490"/>
    <w:rsid w:val="00F34758"/>
    <w:rsid w:val="00F3488C"/>
    <w:rsid w:val="00F34D04"/>
    <w:rsid w:val="00F34D38"/>
    <w:rsid w:val="00F34D3F"/>
    <w:rsid w:val="00F34E9F"/>
    <w:rsid w:val="00F34F52"/>
    <w:rsid w:val="00F3505D"/>
    <w:rsid w:val="00F350C0"/>
    <w:rsid w:val="00F3520C"/>
    <w:rsid w:val="00F353D0"/>
    <w:rsid w:val="00F3563D"/>
    <w:rsid w:val="00F357B2"/>
    <w:rsid w:val="00F35A10"/>
    <w:rsid w:val="00F35D81"/>
    <w:rsid w:val="00F35FBC"/>
    <w:rsid w:val="00F35FDE"/>
    <w:rsid w:val="00F3616E"/>
    <w:rsid w:val="00F361EB"/>
    <w:rsid w:val="00F36242"/>
    <w:rsid w:val="00F362DE"/>
    <w:rsid w:val="00F3645A"/>
    <w:rsid w:val="00F36462"/>
    <w:rsid w:val="00F365CB"/>
    <w:rsid w:val="00F365D1"/>
    <w:rsid w:val="00F36902"/>
    <w:rsid w:val="00F36976"/>
    <w:rsid w:val="00F36A4A"/>
    <w:rsid w:val="00F36A92"/>
    <w:rsid w:val="00F36CA7"/>
    <w:rsid w:val="00F36CDC"/>
    <w:rsid w:val="00F36CF1"/>
    <w:rsid w:val="00F36E7C"/>
    <w:rsid w:val="00F3718B"/>
    <w:rsid w:val="00F37280"/>
    <w:rsid w:val="00F37332"/>
    <w:rsid w:val="00F37410"/>
    <w:rsid w:val="00F3760E"/>
    <w:rsid w:val="00F3773A"/>
    <w:rsid w:val="00F37813"/>
    <w:rsid w:val="00F37A56"/>
    <w:rsid w:val="00F37BFD"/>
    <w:rsid w:val="00F37C09"/>
    <w:rsid w:val="00F37CA6"/>
    <w:rsid w:val="00F37E34"/>
    <w:rsid w:val="00F37F26"/>
    <w:rsid w:val="00F37FEA"/>
    <w:rsid w:val="00F4010C"/>
    <w:rsid w:val="00F406CE"/>
    <w:rsid w:val="00F409C6"/>
    <w:rsid w:val="00F40AC7"/>
    <w:rsid w:val="00F40DAB"/>
    <w:rsid w:val="00F4105C"/>
    <w:rsid w:val="00F41347"/>
    <w:rsid w:val="00F41425"/>
    <w:rsid w:val="00F41566"/>
    <w:rsid w:val="00F4161E"/>
    <w:rsid w:val="00F41671"/>
    <w:rsid w:val="00F41915"/>
    <w:rsid w:val="00F41A4E"/>
    <w:rsid w:val="00F41AEC"/>
    <w:rsid w:val="00F41BC5"/>
    <w:rsid w:val="00F41CB4"/>
    <w:rsid w:val="00F41E45"/>
    <w:rsid w:val="00F41E9D"/>
    <w:rsid w:val="00F41EE5"/>
    <w:rsid w:val="00F4215D"/>
    <w:rsid w:val="00F421B3"/>
    <w:rsid w:val="00F4236A"/>
    <w:rsid w:val="00F4245D"/>
    <w:rsid w:val="00F424B6"/>
    <w:rsid w:val="00F42738"/>
    <w:rsid w:val="00F428E9"/>
    <w:rsid w:val="00F42B2B"/>
    <w:rsid w:val="00F42C16"/>
    <w:rsid w:val="00F42C51"/>
    <w:rsid w:val="00F42C77"/>
    <w:rsid w:val="00F43290"/>
    <w:rsid w:val="00F4335B"/>
    <w:rsid w:val="00F4349B"/>
    <w:rsid w:val="00F435A1"/>
    <w:rsid w:val="00F435AB"/>
    <w:rsid w:val="00F4367D"/>
    <w:rsid w:val="00F43739"/>
    <w:rsid w:val="00F43775"/>
    <w:rsid w:val="00F43AB3"/>
    <w:rsid w:val="00F43BF6"/>
    <w:rsid w:val="00F43D2C"/>
    <w:rsid w:val="00F43DC9"/>
    <w:rsid w:val="00F43E27"/>
    <w:rsid w:val="00F4406E"/>
    <w:rsid w:val="00F441B9"/>
    <w:rsid w:val="00F4424E"/>
    <w:rsid w:val="00F443C1"/>
    <w:rsid w:val="00F443D3"/>
    <w:rsid w:val="00F443E5"/>
    <w:rsid w:val="00F445C9"/>
    <w:rsid w:val="00F446EE"/>
    <w:rsid w:val="00F44768"/>
    <w:rsid w:val="00F44769"/>
    <w:rsid w:val="00F448A2"/>
    <w:rsid w:val="00F448E8"/>
    <w:rsid w:val="00F448F5"/>
    <w:rsid w:val="00F449B6"/>
    <w:rsid w:val="00F449DC"/>
    <w:rsid w:val="00F44A0E"/>
    <w:rsid w:val="00F44BD3"/>
    <w:rsid w:val="00F44EE9"/>
    <w:rsid w:val="00F44F2A"/>
    <w:rsid w:val="00F45298"/>
    <w:rsid w:val="00F453F1"/>
    <w:rsid w:val="00F45605"/>
    <w:rsid w:val="00F45619"/>
    <w:rsid w:val="00F456C9"/>
    <w:rsid w:val="00F4571D"/>
    <w:rsid w:val="00F4572A"/>
    <w:rsid w:val="00F45783"/>
    <w:rsid w:val="00F45788"/>
    <w:rsid w:val="00F457B2"/>
    <w:rsid w:val="00F45984"/>
    <w:rsid w:val="00F45A48"/>
    <w:rsid w:val="00F45D61"/>
    <w:rsid w:val="00F45DEE"/>
    <w:rsid w:val="00F45E17"/>
    <w:rsid w:val="00F45F92"/>
    <w:rsid w:val="00F46014"/>
    <w:rsid w:val="00F4613E"/>
    <w:rsid w:val="00F4625F"/>
    <w:rsid w:val="00F4646B"/>
    <w:rsid w:val="00F465E5"/>
    <w:rsid w:val="00F46656"/>
    <w:rsid w:val="00F469D7"/>
    <w:rsid w:val="00F469E1"/>
    <w:rsid w:val="00F469F5"/>
    <w:rsid w:val="00F46A95"/>
    <w:rsid w:val="00F46B34"/>
    <w:rsid w:val="00F46B8B"/>
    <w:rsid w:val="00F46CD1"/>
    <w:rsid w:val="00F4711D"/>
    <w:rsid w:val="00F47227"/>
    <w:rsid w:val="00F47235"/>
    <w:rsid w:val="00F474A4"/>
    <w:rsid w:val="00F47540"/>
    <w:rsid w:val="00F5015C"/>
    <w:rsid w:val="00F5018F"/>
    <w:rsid w:val="00F5026D"/>
    <w:rsid w:val="00F50370"/>
    <w:rsid w:val="00F50538"/>
    <w:rsid w:val="00F5069D"/>
    <w:rsid w:val="00F50A02"/>
    <w:rsid w:val="00F50D7C"/>
    <w:rsid w:val="00F50DC4"/>
    <w:rsid w:val="00F5103E"/>
    <w:rsid w:val="00F51060"/>
    <w:rsid w:val="00F513E8"/>
    <w:rsid w:val="00F5175C"/>
    <w:rsid w:val="00F5184B"/>
    <w:rsid w:val="00F519EE"/>
    <w:rsid w:val="00F51AE5"/>
    <w:rsid w:val="00F51DBD"/>
    <w:rsid w:val="00F51DEE"/>
    <w:rsid w:val="00F51EE0"/>
    <w:rsid w:val="00F51F5B"/>
    <w:rsid w:val="00F52079"/>
    <w:rsid w:val="00F52166"/>
    <w:rsid w:val="00F5248F"/>
    <w:rsid w:val="00F52537"/>
    <w:rsid w:val="00F52578"/>
    <w:rsid w:val="00F527D1"/>
    <w:rsid w:val="00F5293B"/>
    <w:rsid w:val="00F529D9"/>
    <w:rsid w:val="00F52DB3"/>
    <w:rsid w:val="00F52E2D"/>
    <w:rsid w:val="00F52EF2"/>
    <w:rsid w:val="00F52F9D"/>
    <w:rsid w:val="00F5312C"/>
    <w:rsid w:val="00F531C5"/>
    <w:rsid w:val="00F53241"/>
    <w:rsid w:val="00F5339D"/>
    <w:rsid w:val="00F53888"/>
    <w:rsid w:val="00F53B81"/>
    <w:rsid w:val="00F54104"/>
    <w:rsid w:val="00F5410F"/>
    <w:rsid w:val="00F542E0"/>
    <w:rsid w:val="00F54304"/>
    <w:rsid w:val="00F5440D"/>
    <w:rsid w:val="00F5468C"/>
    <w:rsid w:val="00F5479E"/>
    <w:rsid w:val="00F547A0"/>
    <w:rsid w:val="00F54868"/>
    <w:rsid w:val="00F549CA"/>
    <w:rsid w:val="00F54CA6"/>
    <w:rsid w:val="00F54CEF"/>
    <w:rsid w:val="00F54D68"/>
    <w:rsid w:val="00F55142"/>
    <w:rsid w:val="00F55198"/>
    <w:rsid w:val="00F5544D"/>
    <w:rsid w:val="00F55533"/>
    <w:rsid w:val="00F5555F"/>
    <w:rsid w:val="00F556B0"/>
    <w:rsid w:val="00F557CA"/>
    <w:rsid w:val="00F558E0"/>
    <w:rsid w:val="00F55990"/>
    <w:rsid w:val="00F559FB"/>
    <w:rsid w:val="00F55AAA"/>
    <w:rsid w:val="00F55ACF"/>
    <w:rsid w:val="00F55C5E"/>
    <w:rsid w:val="00F55CA8"/>
    <w:rsid w:val="00F55D0E"/>
    <w:rsid w:val="00F55D60"/>
    <w:rsid w:val="00F55DBC"/>
    <w:rsid w:val="00F55DD7"/>
    <w:rsid w:val="00F55EA0"/>
    <w:rsid w:val="00F56170"/>
    <w:rsid w:val="00F5630D"/>
    <w:rsid w:val="00F565D3"/>
    <w:rsid w:val="00F5690A"/>
    <w:rsid w:val="00F56BA6"/>
    <w:rsid w:val="00F56EB3"/>
    <w:rsid w:val="00F56EE0"/>
    <w:rsid w:val="00F57134"/>
    <w:rsid w:val="00F572C0"/>
    <w:rsid w:val="00F574B2"/>
    <w:rsid w:val="00F57520"/>
    <w:rsid w:val="00F57634"/>
    <w:rsid w:val="00F5782D"/>
    <w:rsid w:val="00F578FC"/>
    <w:rsid w:val="00F57908"/>
    <w:rsid w:val="00F60111"/>
    <w:rsid w:val="00F60146"/>
    <w:rsid w:val="00F60307"/>
    <w:rsid w:val="00F60393"/>
    <w:rsid w:val="00F603BA"/>
    <w:rsid w:val="00F6049D"/>
    <w:rsid w:val="00F604C5"/>
    <w:rsid w:val="00F604EF"/>
    <w:rsid w:val="00F6067C"/>
    <w:rsid w:val="00F606A2"/>
    <w:rsid w:val="00F608DA"/>
    <w:rsid w:val="00F609C5"/>
    <w:rsid w:val="00F60B57"/>
    <w:rsid w:val="00F60BC2"/>
    <w:rsid w:val="00F60C3B"/>
    <w:rsid w:val="00F60ED9"/>
    <w:rsid w:val="00F60F2E"/>
    <w:rsid w:val="00F610BA"/>
    <w:rsid w:val="00F61141"/>
    <w:rsid w:val="00F61492"/>
    <w:rsid w:val="00F6159A"/>
    <w:rsid w:val="00F616D1"/>
    <w:rsid w:val="00F61831"/>
    <w:rsid w:val="00F61D85"/>
    <w:rsid w:val="00F61EB6"/>
    <w:rsid w:val="00F61F8C"/>
    <w:rsid w:val="00F61FC1"/>
    <w:rsid w:val="00F6217E"/>
    <w:rsid w:val="00F621FE"/>
    <w:rsid w:val="00F6229B"/>
    <w:rsid w:val="00F62302"/>
    <w:rsid w:val="00F6252A"/>
    <w:rsid w:val="00F62628"/>
    <w:rsid w:val="00F62640"/>
    <w:rsid w:val="00F627F1"/>
    <w:rsid w:val="00F628EA"/>
    <w:rsid w:val="00F6292F"/>
    <w:rsid w:val="00F62935"/>
    <w:rsid w:val="00F62B0C"/>
    <w:rsid w:val="00F62C65"/>
    <w:rsid w:val="00F62CA4"/>
    <w:rsid w:val="00F62CD7"/>
    <w:rsid w:val="00F62D97"/>
    <w:rsid w:val="00F62DBA"/>
    <w:rsid w:val="00F63176"/>
    <w:rsid w:val="00F6334E"/>
    <w:rsid w:val="00F633A2"/>
    <w:rsid w:val="00F6340A"/>
    <w:rsid w:val="00F63593"/>
    <w:rsid w:val="00F6377F"/>
    <w:rsid w:val="00F638C4"/>
    <w:rsid w:val="00F638F2"/>
    <w:rsid w:val="00F63970"/>
    <w:rsid w:val="00F63D26"/>
    <w:rsid w:val="00F63EA2"/>
    <w:rsid w:val="00F63F8A"/>
    <w:rsid w:val="00F640D7"/>
    <w:rsid w:val="00F643B8"/>
    <w:rsid w:val="00F644FD"/>
    <w:rsid w:val="00F64566"/>
    <w:rsid w:val="00F64A78"/>
    <w:rsid w:val="00F64C57"/>
    <w:rsid w:val="00F64D67"/>
    <w:rsid w:val="00F64D7A"/>
    <w:rsid w:val="00F65139"/>
    <w:rsid w:val="00F651D7"/>
    <w:rsid w:val="00F6521B"/>
    <w:rsid w:val="00F653A7"/>
    <w:rsid w:val="00F656B5"/>
    <w:rsid w:val="00F656F9"/>
    <w:rsid w:val="00F657AC"/>
    <w:rsid w:val="00F658DD"/>
    <w:rsid w:val="00F65ADC"/>
    <w:rsid w:val="00F65B90"/>
    <w:rsid w:val="00F65C2C"/>
    <w:rsid w:val="00F65C65"/>
    <w:rsid w:val="00F65E6A"/>
    <w:rsid w:val="00F66066"/>
    <w:rsid w:val="00F660A9"/>
    <w:rsid w:val="00F661B2"/>
    <w:rsid w:val="00F66556"/>
    <w:rsid w:val="00F66589"/>
    <w:rsid w:val="00F66598"/>
    <w:rsid w:val="00F6659B"/>
    <w:rsid w:val="00F6696D"/>
    <w:rsid w:val="00F66D50"/>
    <w:rsid w:val="00F66E72"/>
    <w:rsid w:val="00F66EAC"/>
    <w:rsid w:val="00F66FB4"/>
    <w:rsid w:val="00F67209"/>
    <w:rsid w:val="00F6724F"/>
    <w:rsid w:val="00F67399"/>
    <w:rsid w:val="00F6739E"/>
    <w:rsid w:val="00F67501"/>
    <w:rsid w:val="00F67612"/>
    <w:rsid w:val="00F6767E"/>
    <w:rsid w:val="00F677F0"/>
    <w:rsid w:val="00F6781A"/>
    <w:rsid w:val="00F67968"/>
    <w:rsid w:val="00F67A1D"/>
    <w:rsid w:val="00F67A40"/>
    <w:rsid w:val="00F67B21"/>
    <w:rsid w:val="00F67B96"/>
    <w:rsid w:val="00F67C89"/>
    <w:rsid w:val="00F67D76"/>
    <w:rsid w:val="00F67D8F"/>
    <w:rsid w:val="00F67DE5"/>
    <w:rsid w:val="00F67F78"/>
    <w:rsid w:val="00F701C0"/>
    <w:rsid w:val="00F701D1"/>
    <w:rsid w:val="00F701D5"/>
    <w:rsid w:val="00F706AA"/>
    <w:rsid w:val="00F706C6"/>
    <w:rsid w:val="00F7075B"/>
    <w:rsid w:val="00F7085C"/>
    <w:rsid w:val="00F708F6"/>
    <w:rsid w:val="00F70BDB"/>
    <w:rsid w:val="00F70D58"/>
    <w:rsid w:val="00F71072"/>
    <w:rsid w:val="00F71085"/>
    <w:rsid w:val="00F71284"/>
    <w:rsid w:val="00F71380"/>
    <w:rsid w:val="00F71398"/>
    <w:rsid w:val="00F713C4"/>
    <w:rsid w:val="00F714EC"/>
    <w:rsid w:val="00F71EB4"/>
    <w:rsid w:val="00F71FCF"/>
    <w:rsid w:val="00F71FF2"/>
    <w:rsid w:val="00F7200F"/>
    <w:rsid w:val="00F72115"/>
    <w:rsid w:val="00F7213B"/>
    <w:rsid w:val="00F72246"/>
    <w:rsid w:val="00F72277"/>
    <w:rsid w:val="00F72359"/>
    <w:rsid w:val="00F72473"/>
    <w:rsid w:val="00F724BD"/>
    <w:rsid w:val="00F7253A"/>
    <w:rsid w:val="00F7269F"/>
    <w:rsid w:val="00F7279E"/>
    <w:rsid w:val="00F72810"/>
    <w:rsid w:val="00F7292E"/>
    <w:rsid w:val="00F72A11"/>
    <w:rsid w:val="00F72ADD"/>
    <w:rsid w:val="00F72B0B"/>
    <w:rsid w:val="00F72B8E"/>
    <w:rsid w:val="00F72D3D"/>
    <w:rsid w:val="00F72F1D"/>
    <w:rsid w:val="00F72FA4"/>
    <w:rsid w:val="00F73073"/>
    <w:rsid w:val="00F73074"/>
    <w:rsid w:val="00F730EE"/>
    <w:rsid w:val="00F735A5"/>
    <w:rsid w:val="00F735BF"/>
    <w:rsid w:val="00F739B5"/>
    <w:rsid w:val="00F73A7D"/>
    <w:rsid w:val="00F73C96"/>
    <w:rsid w:val="00F73E76"/>
    <w:rsid w:val="00F73EB3"/>
    <w:rsid w:val="00F73F33"/>
    <w:rsid w:val="00F74127"/>
    <w:rsid w:val="00F742F3"/>
    <w:rsid w:val="00F745A7"/>
    <w:rsid w:val="00F746E1"/>
    <w:rsid w:val="00F747EC"/>
    <w:rsid w:val="00F74856"/>
    <w:rsid w:val="00F74957"/>
    <w:rsid w:val="00F74A0C"/>
    <w:rsid w:val="00F74AC4"/>
    <w:rsid w:val="00F74D58"/>
    <w:rsid w:val="00F74D5C"/>
    <w:rsid w:val="00F74F95"/>
    <w:rsid w:val="00F75074"/>
    <w:rsid w:val="00F750E2"/>
    <w:rsid w:val="00F7524A"/>
    <w:rsid w:val="00F752E0"/>
    <w:rsid w:val="00F753CB"/>
    <w:rsid w:val="00F754A9"/>
    <w:rsid w:val="00F754FC"/>
    <w:rsid w:val="00F75748"/>
    <w:rsid w:val="00F7576D"/>
    <w:rsid w:val="00F7580A"/>
    <w:rsid w:val="00F7587D"/>
    <w:rsid w:val="00F75B35"/>
    <w:rsid w:val="00F75BA1"/>
    <w:rsid w:val="00F75DF4"/>
    <w:rsid w:val="00F75F93"/>
    <w:rsid w:val="00F76019"/>
    <w:rsid w:val="00F76182"/>
    <w:rsid w:val="00F7618C"/>
    <w:rsid w:val="00F761AA"/>
    <w:rsid w:val="00F76263"/>
    <w:rsid w:val="00F762BF"/>
    <w:rsid w:val="00F76459"/>
    <w:rsid w:val="00F76694"/>
    <w:rsid w:val="00F7675F"/>
    <w:rsid w:val="00F76814"/>
    <w:rsid w:val="00F76957"/>
    <w:rsid w:val="00F76978"/>
    <w:rsid w:val="00F76A3D"/>
    <w:rsid w:val="00F76AB1"/>
    <w:rsid w:val="00F76BBB"/>
    <w:rsid w:val="00F76D90"/>
    <w:rsid w:val="00F76ED3"/>
    <w:rsid w:val="00F76F36"/>
    <w:rsid w:val="00F76F3D"/>
    <w:rsid w:val="00F77023"/>
    <w:rsid w:val="00F773AD"/>
    <w:rsid w:val="00F773F6"/>
    <w:rsid w:val="00F77427"/>
    <w:rsid w:val="00F7747C"/>
    <w:rsid w:val="00F7754F"/>
    <w:rsid w:val="00F775BA"/>
    <w:rsid w:val="00F778C8"/>
    <w:rsid w:val="00F7795A"/>
    <w:rsid w:val="00F77B3D"/>
    <w:rsid w:val="00F77C10"/>
    <w:rsid w:val="00F77E2A"/>
    <w:rsid w:val="00F8003C"/>
    <w:rsid w:val="00F8016B"/>
    <w:rsid w:val="00F801DA"/>
    <w:rsid w:val="00F802DF"/>
    <w:rsid w:val="00F8036B"/>
    <w:rsid w:val="00F804F7"/>
    <w:rsid w:val="00F80683"/>
    <w:rsid w:val="00F806F3"/>
    <w:rsid w:val="00F809A3"/>
    <w:rsid w:val="00F80BA6"/>
    <w:rsid w:val="00F80C24"/>
    <w:rsid w:val="00F80F79"/>
    <w:rsid w:val="00F81011"/>
    <w:rsid w:val="00F81243"/>
    <w:rsid w:val="00F8178B"/>
    <w:rsid w:val="00F81831"/>
    <w:rsid w:val="00F81A7F"/>
    <w:rsid w:val="00F81C87"/>
    <w:rsid w:val="00F82261"/>
    <w:rsid w:val="00F822B1"/>
    <w:rsid w:val="00F82485"/>
    <w:rsid w:val="00F82756"/>
    <w:rsid w:val="00F827D4"/>
    <w:rsid w:val="00F82ADB"/>
    <w:rsid w:val="00F82B04"/>
    <w:rsid w:val="00F82B59"/>
    <w:rsid w:val="00F82B8D"/>
    <w:rsid w:val="00F82BBE"/>
    <w:rsid w:val="00F82BF1"/>
    <w:rsid w:val="00F82CBF"/>
    <w:rsid w:val="00F82E4E"/>
    <w:rsid w:val="00F830DC"/>
    <w:rsid w:val="00F831EE"/>
    <w:rsid w:val="00F833C7"/>
    <w:rsid w:val="00F833DD"/>
    <w:rsid w:val="00F8346B"/>
    <w:rsid w:val="00F83744"/>
    <w:rsid w:val="00F837FB"/>
    <w:rsid w:val="00F8386E"/>
    <w:rsid w:val="00F8394C"/>
    <w:rsid w:val="00F839CB"/>
    <w:rsid w:val="00F83C7E"/>
    <w:rsid w:val="00F83CEF"/>
    <w:rsid w:val="00F83FB3"/>
    <w:rsid w:val="00F840B2"/>
    <w:rsid w:val="00F8439A"/>
    <w:rsid w:val="00F843B6"/>
    <w:rsid w:val="00F84534"/>
    <w:rsid w:val="00F8454B"/>
    <w:rsid w:val="00F847C6"/>
    <w:rsid w:val="00F84A85"/>
    <w:rsid w:val="00F84CB7"/>
    <w:rsid w:val="00F84CC0"/>
    <w:rsid w:val="00F84CE0"/>
    <w:rsid w:val="00F84FE3"/>
    <w:rsid w:val="00F85111"/>
    <w:rsid w:val="00F85191"/>
    <w:rsid w:val="00F85198"/>
    <w:rsid w:val="00F854B1"/>
    <w:rsid w:val="00F85692"/>
    <w:rsid w:val="00F85821"/>
    <w:rsid w:val="00F8588B"/>
    <w:rsid w:val="00F85C1F"/>
    <w:rsid w:val="00F85F17"/>
    <w:rsid w:val="00F85F85"/>
    <w:rsid w:val="00F86007"/>
    <w:rsid w:val="00F8606C"/>
    <w:rsid w:val="00F862B6"/>
    <w:rsid w:val="00F864C1"/>
    <w:rsid w:val="00F866A0"/>
    <w:rsid w:val="00F867DB"/>
    <w:rsid w:val="00F86965"/>
    <w:rsid w:val="00F86C53"/>
    <w:rsid w:val="00F86DA2"/>
    <w:rsid w:val="00F86F20"/>
    <w:rsid w:val="00F86F2B"/>
    <w:rsid w:val="00F8704C"/>
    <w:rsid w:val="00F8706F"/>
    <w:rsid w:val="00F870EC"/>
    <w:rsid w:val="00F871EE"/>
    <w:rsid w:val="00F872E2"/>
    <w:rsid w:val="00F87460"/>
    <w:rsid w:val="00F87582"/>
    <w:rsid w:val="00F8776C"/>
    <w:rsid w:val="00F87996"/>
    <w:rsid w:val="00F87B86"/>
    <w:rsid w:val="00F87BA8"/>
    <w:rsid w:val="00F87D05"/>
    <w:rsid w:val="00F87FE8"/>
    <w:rsid w:val="00F901EB"/>
    <w:rsid w:val="00F90269"/>
    <w:rsid w:val="00F902ED"/>
    <w:rsid w:val="00F902FE"/>
    <w:rsid w:val="00F9039E"/>
    <w:rsid w:val="00F904AD"/>
    <w:rsid w:val="00F904E4"/>
    <w:rsid w:val="00F90BE0"/>
    <w:rsid w:val="00F90DF6"/>
    <w:rsid w:val="00F90E26"/>
    <w:rsid w:val="00F91516"/>
    <w:rsid w:val="00F918F1"/>
    <w:rsid w:val="00F91DB1"/>
    <w:rsid w:val="00F91E1B"/>
    <w:rsid w:val="00F91ED8"/>
    <w:rsid w:val="00F91F09"/>
    <w:rsid w:val="00F92357"/>
    <w:rsid w:val="00F924F6"/>
    <w:rsid w:val="00F92A17"/>
    <w:rsid w:val="00F92B2D"/>
    <w:rsid w:val="00F92BE2"/>
    <w:rsid w:val="00F92D04"/>
    <w:rsid w:val="00F9319D"/>
    <w:rsid w:val="00F93287"/>
    <w:rsid w:val="00F93379"/>
    <w:rsid w:val="00F933A7"/>
    <w:rsid w:val="00F93671"/>
    <w:rsid w:val="00F936C3"/>
    <w:rsid w:val="00F936D2"/>
    <w:rsid w:val="00F936E0"/>
    <w:rsid w:val="00F93862"/>
    <w:rsid w:val="00F93894"/>
    <w:rsid w:val="00F93991"/>
    <w:rsid w:val="00F93AC9"/>
    <w:rsid w:val="00F93ACF"/>
    <w:rsid w:val="00F93BCA"/>
    <w:rsid w:val="00F93DC6"/>
    <w:rsid w:val="00F93DFA"/>
    <w:rsid w:val="00F93FAD"/>
    <w:rsid w:val="00F94461"/>
    <w:rsid w:val="00F94513"/>
    <w:rsid w:val="00F9465D"/>
    <w:rsid w:val="00F94873"/>
    <w:rsid w:val="00F9490F"/>
    <w:rsid w:val="00F94A34"/>
    <w:rsid w:val="00F94B6E"/>
    <w:rsid w:val="00F94BED"/>
    <w:rsid w:val="00F94ED4"/>
    <w:rsid w:val="00F94F61"/>
    <w:rsid w:val="00F94F77"/>
    <w:rsid w:val="00F95001"/>
    <w:rsid w:val="00F950FB"/>
    <w:rsid w:val="00F952C3"/>
    <w:rsid w:val="00F9530C"/>
    <w:rsid w:val="00F95411"/>
    <w:rsid w:val="00F95487"/>
    <w:rsid w:val="00F957B3"/>
    <w:rsid w:val="00F957BA"/>
    <w:rsid w:val="00F9580D"/>
    <w:rsid w:val="00F95874"/>
    <w:rsid w:val="00F9596D"/>
    <w:rsid w:val="00F959A4"/>
    <w:rsid w:val="00F95C9F"/>
    <w:rsid w:val="00F95EA6"/>
    <w:rsid w:val="00F95EDE"/>
    <w:rsid w:val="00F96104"/>
    <w:rsid w:val="00F9633E"/>
    <w:rsid w:val="00F965DA"/>
    <w:rsid w:val="00F9662B"/>
    <w:rsid w:val="00F9672E"/>
    <w:rsid w:val="00F9681F"/>
    <w:rsid w:val="00F96B0B"/>
    <w:rsid w:val="00F96B9C"/>
    <w:rsid w:val="00F96C69"/>
    <w:rsid w:val="00F96D93"/>
    <w:rsid w:val="00F96E3F"/>
    <w:rsid w:val="00F96EFA"/>
    <w:rsid w:val="00F970CF"/>
    <w:rsid w:val="00F972E4"/>
    <w:rsid w:val="00F9755D"/>
    <w:rsid w:val="00F976BF"/>
    <w:rsid w:val="00F97825"/>
    <w:rsid w:val="00F9783E"/>
    <w:rsid w:val="00F97900"/>
    <w:rsid w:val="00F97943"/>
    <w:rsid w:val="00F9794E"/>
    <w:rsid w:val="00F979C7"/>
    <w:rsid w:val="00F97A45"/>
    <w:rsid w:val="00F97A4F"/>
    <w:rsid w:val="00F97C79"/>
    <w:rsid w:val="00F97DF6"/>
    <w:rsid w:val="00FA0066"/>
    <w:rsid w:val="00FA0131"/>
    <w:rsid w:val="00FA0171"/>
    <w:rsid w:val="00FA02D2"/>
    <w:rsid w:val="00FA032F"/>
    <w:rsid w:val="00FA0333"/>
    <w:rsid w:val="00FA0467"/>
    <w:rsid w:val="00FA056A"/>
    <w:rsid w:val="00FA0579"/>
    <w:rsid w:val="00FA060B"/>
    <w:rsid w:val="00FA0639"/>
    <w:rsid w:val="00FA07B9"/>
    <w:rsid w:val="00FA099F"/>
    <w:rsid w:val="00FA09B8"/>
    <w:rsid w:val="00FA0B08"/>
    <w:rsid w:val="00FA0B36"/>
    <w:rsid w:val="00FA0DD4"/>
    <w:rsid w:val="00FA1005"/>
    <w:rsid w:val="00FA103F"/>
    <w:rsid w:val="00FA10EC"/>
    <w:rsid w:val="00FA1200"/>
    <w:rsid w:val="00FA1539"/>
    <w:rsid w:val="00FA157D"/>
    <w:rsid w:val="00FA158B"/>
    <w:rsid w:val="00FA1792"/>
    <w:rsid w:val="00FA191B"/>
    <w:rsid w:val="00FA19FF"/>
    <w:rsid w:val="00FA1B97"/>
    <w:rsid w:val="00FA1D4F"/>
    <w:rsid w:val="00FA1E30"/>
    <w:rsid w:val="00FA2003"/>
    <w:rsid w:val="00FA20BA"/>
    <w:rsid w:val="00FA24DD"/>
    <w:rsid w:val="00FA2782"/>
    <w:rsid w:val="00FA2811"/>
    <w:rsid w:val="00FA28B1"/>
    <w:rsid w:val="00FA296C"/>
    <w:rsid w:val="00FA2A3F"/>
    <w:rsid w:val="00FA2DCB"/>
    <w:rsid w:val="00FA2FCE"/>
    <w:rsid w:val="00FA3200"/>
    <w:rsid w:val="00FA3233"/>
    <w:rsid w:val="00FA332A"/>
    <w:rsid w:val="00FA3562"/>
    <w:rsid w:val="00FA3825"/>
    <w:rsid w:val="00FA390B"/>
    <w:rsid w:val="00FA396A"/>
    <w:rsid w:val="00FA3AC0"/>
    <w:rsid w:val="00FA3BD6"/>
    <w:rsid w:val="00FA3DF9"/>
    <w:rsid w:val="00FA3FA5"/>
    <w:rsid w:val="00FA4003"/>
    <w:rsid w:val="00FA4082"/>
    <w:rsid w:val="00FA422C"/>
    <w:rsid w:val="00FA424F"/>
    <w:rsid w:val="00FA430B"/>
    <w:rsid w:val="00FA4316"/>
    <w:rsid w:val="00FA43C0"/>
    <w:rsid w:val="00FA43FD"/>
    <w:rsid w:val="00FA4440"/>
    <w:rsid w:val="00FA4522"/>
    <w:rsid w:val="00FA46A0"/>
    <w:rsid w:val="00FA48D6"/>
    <w:rsid w:val="00FA4959"/>
    <w:rsid w:val="00FA4D92"/>
    <w:rsid w:val="00FA4E22"/>
    <w:rsid w:val="00FA52A7"/>
    <w:rsid w:val="00FA5414"/>
    <w:rsid w:val="00FA54FB"/>
    <w:rsid w:val="00FA5632"/>
    <w:rsid w:val="00FA59BF"/>
    <w:rsid w:val="00FA5A6B"/>
    <w:rsid w:val="00FA5B42"/>
    <w:rsid w:val="00FA5B88"/>
    <w:rsid w:val="00FA5BAB"/>
    <w:rsid w:val="00FA5C2F"/>
    <w:rsid w:val="00FA5D19"/>
    <w:rsid w:val="00FA5D21"/>
    <w:rsid w:val="00FA5F37"/>
    <w:rsid w:val="00FA5FE1"/>
    <w:rsid w:val="00FA604F"/>
    <w:rsid w:val="00FA617D"/>
    <w:rsid w:val="00FA61B3"/>
    <w:rsid w:val="00FA62C7"/>
    <w:rsid w:val="00FA6406"/>
    <w:rsid w:val="00FA64C8"/>
    <w:rsid w:val="00FA6570"/>
    <w:rsid w:val="00FA66B2"/>
    <w:rsid w:val="00FA6948"/>
    <w:rsid w:val="00FA69B8"/>
    <w:rsid w:val="00FA6AB8"/>
    <w:rsid w:val="00FA6BB8"/>
    <w:rsid w:val="00FA6CF6"/>
    <w:rsid w:val="00FA6D9D"/>
    <w:rsid w:val="00FA7235"/>
    <w:rsid w:val="00FA723B"/>
    <w:rsid w:val="00FA74D3"/>
    <w:rsid w:val="00FA7CA5"/>
    <w:rsid w:val="00FA7D24"/>
    <w:rsid w:val="00FA7EA5"/>
    <w:rsid w:val="00FA7F49"/>
    <w:rsid w:val="00FB0149"/>
    <w:rsid w:val="00FB0532"/>
    <w:rsid w:val="00FB057F"/>
    <w:rsid w:val="00FB058F"/>
    <w:rsid w:val="00FB07BD"/>
    <w:rsid w:val="00FB08C4"/>
    <w:rsid w:val="00FB097C"/>
    <w:rsid w:val="00FB0994"/>
    <w:rsid w:val="00FB0BEC"/>
    <w:rsid w:val="00FB0C6A"/>
    <w:rsid w:val="00FB0D04"/>
    <w:rsid w:val="00FB0D29"/>
    <w:rsid w:val="00FB0D98"/>
    <w:rsid w:val="00FB1099"/>
    <w:rsid w:val="00FB10BD"/>
    <w:rsid w:val="00FB127B"/>
    <w:rsid w:val="00FB141F"/>
    <w:rsid w:val="00FB1437"/>
    <w:rsid w:val="00FB17D2"/>
    <w:rsid w:val="00FB198A"/>
    <w:rsid w:val="00FB1AD8"/>
    <w:rsid w:val="00FB1B19"/>
    <w:rsid w:val="00FB1DE8"/>
    <w:rsid w:val="00FB1E3C"/>
    <w:rsid w:val="00FB1E86"/>
    <w:rsid w:val="00FB1F16"/>
    <w:rsid w:val="00FB23DC"/>
    <w:rsid w:val="00FB24D2"/>
    <w:rsid w:val="00FB2590"/>
    <w:rsid w:val="00FB2607"/>
    <w:rsid w:val="00FB27A8"/>
    <w:rsid w:val="00FB289A"/>
    <w:rsid w:val="00FB29D3"/>
    <w:rsid w:val="00FB29D6"/>
    <w:rsid w:val="00FB2B31"/>
    <w:rsid w:val="00FB2B7A"/>
    <w:rsid w:val="00FB2BF2"/>
    <w:rsid w:val="00FB2C0E"/>
    <w:rsid w:val="00FB2D5E"/>
    <w:rsid w:val="00FB2DB7"/>
    <w:rsid w:val="00FB2F04"/>
    <w:rsid w:val="00FB3126"/>
    <w:rsid w:val="00FB317F"/>
    <w:rsid w:val="00FB3278"/>
    <w:rsid w:val="00FB3397"/>
    <w:rsid w:val="00FB34BC"/>
    <w:rsid w:val="00FB3553"/>
    <w:rsid w:val="00FB3773"/>
    <w:rsid w:val="00FB396C"/>
    <w:rsid w:val="00FB3B2B"/>
    <w:rsid w:val="00FB3B89"/>
    <w:rsid w:val="00FB3B96"/>
    <w:rsid w:val="00FB3D81"/>
    <w:rsid w:val="00FB3D96"/>
    <w:rsid w:val="00FB3E3F"/>
    <w:rsid w:val="00FB4369"/>
    <w:rsid w:val="00FB43A0"/>
    <w:rsid w:val="00FB4892"/>
    <w:rsid w:val="00FB4B12"/>
    <w:rsid w:val="00FB4B27"/>
    <w:rsid w:val="00FB4C8E"/>
    <w:rsid w:val="00FB4FB0"/>
    <w:rsid w:val="00FB50E2"/>
    <w:rsid w:val="00FB5220"/>
    <w:rsid w:val="00FB52E4"/>
    <w:rsid w:val="00FB54FE"/>
    <w:rsid w:val="00FB558A"/>
    <w:rsid w:val="00FB5E9A"/>
    <w:rsid w:val="00FB627D"/>
    <w:rsid w:val="00FB684B"/>
    <w:rsid w:val="00FB6ACF"/>
    <w:rsid w:val="00FB6BA3"/>
    <w:rsid w:val="00FB6E9E"/>
    <w:rsid w:val="00FB6ECF"/>
    <w:rsid w:val="00FB6FFA"/>
    <w:rsid w:val="00FB70AE"/>
    <w:rsid w:val="00FB73E4"/>
    <w:rsid w:val="00FB775E"/>
    <w:rsid w:val="00FB7826"/>
    <w:rsid w:val="00FB7EFF"/>
    <w:rsid w:val="00FB7FFA"/>
    <w:rsid w:val="00FC0111"/>
    <w:rsid w:val="00FC027C"/>
    <w:rsid w:val="00FC0398"/>
    <w:rsid w:val="00FC061B"/>
    <w:rsid w:val="00FC08CE"/>
    <w:rsid w:val="00FC0954"/>
    <w:rsid w:val="00FC0973"/>
    <w:rsid w:val="00FC0C25"/>
    <w:rsid w:val="00FC0D46"/>
    <w:rsid w:val="00FC0D8C"/>
    <w:rsid w:val="00FC0DD8"/>
    <w:rsid w:val="00FC0EDF"/>
    <w:rsid w:val="00FC11D1"/>
    <w:rsid w:val="00FC1268"/>
    <w:rsid w:val="00FC12E3"/>
    <w:rsid w:val="00FC13A7"/>
    <w:rsid w:val="00FC1419"/>
    <w:rsid w:val="00FC158B"/>
    <w:rsid w:val="00FC15BD"/>
    <w:rsid w:val="00FC16D0"/>
    <w:rsid w:val="00FC1726"/>
    <w:rsid w:val="00FC1865"/>
    <w:rsid w:val="00FC1A3B"/>
    <w:rsid w:val="00FC1D72"/>
    <w:rsid w:val="00FC1DC8"/>
    <w:rsid w:val="00FC1FAC"/>
    <w:rsid w:val="00FC230A"/>
    <w:rsid w:val="00FC2320"/>
    <w:rsid w:val="00FC23B2"/>
    <w:rsid w:val="00FC274E"/>
    <w:rsid w:val="00FC279C"/>
    <w:rsid w:val="00FC286B"/>
    <w:rsid w:val="00FC2A1C"/>
    <w:rsid w:val="00FC2A8E"/>
    <w:rsid w:val="00FC2B46"/>
    <w:rsid w:val="00FC2C83"/>
    <w:rsid w:val="00FC2E81"/>
    <w:rsid w:val="00FC321D"/>
    <w:rsid w:val="00FC33B4"/>
    <w:rsid w:val="00FC3714"/>
    <w:rsid w:val="00FC373F"/>
    <w:rsid w:val="00FC38CF"/>
    <w:rsid w:val="00FC397E"/>
    <w:rsid w:val="00FC3B87"/>
    <w:rsid w:val="00FC3CFA"/>
    <w:rsid w:val="00FC3CFC"/>
    <w:rsid w:val="00FC3D2D"/>
    <w:rsid w:val="00FC3D53"/>
    <w:rsid w:val="00FC3D5D"/>
    <w:rsid w:val="00FC41D0"/>
    <w:rsid w:val="00FC430C"/>
    <w:rsid w:val="00FC4357"/>
    <w:rsid w:val="00FC4392"/>
    <w:rsid w:val="00FC43EC"/>
    <w:rsid w:val="00FC441F"/>
    <w:rsid w:val="00FC4B32"/>
    <w:rsid w:val="00FC4E01"/>
    <w:rsid w:val="00FC50F3"/>
    <w:rsid w:val="00FC515D"/>
    <w:rsid w:val="00FC521C"/>
    <w:rsid w:val="00FC55DE"/>
    <w:rsid w:val="00FC5600"/>
    <w:rsid w:val="00FC5743"/>
    <w:rsid w:val="00FC583B"/>
    <w:rsid w:val="00FC5855"/>
    <w:rsid w:val="00FC5878"/>
    <w:rsid w:val="00FC5D13"/>
    <w:rsid w:val="00FC5D26"/>
    <w:rsid w:val="00FC5E0D"/>
    <w:rsid w:val="00FC5EF4"/>
    <w:rsid w:val="00FC5F05"/>
    <w:rsid w:val="00FC5F24"/>
    <w:rsid w:val="00FC5F28"/>
    <w:rsid w:val="00FC612B"/>
    <w:rsid w:val="00FC63A0"/>
    <w:rsid w:val="00FC63FB"/>
    <w:rsid w:val="00FC64B9"/>
    <w:rsid w:val="00FC6584"/>
    <w:rsid w:val="00FC6605"/>
    <w:rsid w:val="00FC6665"/>
    <w:rsid w:val="00FC673D"/>
    <w:rsid w:val="00FC68E0"/>
    <w:rsid w:val="00FC6BFE"/>
    <w:rsid w:val="00FC6C70"/>
    <w:rsid w:val="00FC6F24"/>
    <w:rsid w:val="00FC6F4C"/>
    <w:rsid w:val="00FC6F57"/>
    <w:rsid w:val="00FC6FD9"/>
    <w:rsid w:val="00FC7083"/>
    <w:rsid w:val="00FC7579"/>
    <w:rsid w:val="00FC7887"/>
    <w:rsid w:val="00FC7961"/>
    <w:rsid w:val="00FC7A4E"/>
    <w:rsid w:val="00FC7B8D"/>
    <w:rsid w:val="00FC7CBC"/>
    <w:rsid w:val="00FC7E2A"/>
    <w:rsid w:val="00FC7FC0"/>
    <w:rsid w:val="00FC7FD6"/>
    <w:rsid w:val="00FD01C2"/>
    <w:rsid w:val="00FD0206"/>
    <w:rsid w:val="00FD0257"/>
    <w:rsid w:val="00FD0270"/>
    <w:rsid w:val="00FD0308"/>
    <w:rsid w:val="00FD033A"/>
    <w:rsid w:val="00FD0463"/>
    <w:rsid w:val="00FD0541"/>
    <w:rsid w:val="00FD074C"/>
    <w:rsid w:val="00FD07B4"/>
    <w:rsid w:val="00FD0899"/>
    <w:rsid w:val="00FD09E7"/>
    <w:rsid w:val="00FD0C61"/>
    <w:rsid w:val="00FD1060"/>
    <w:rsid w:val="00FD1068"/>
    <w:rsid w:val="00FD10F7"/>
    <w:rsid w:val="00FD113B"/>
    <w:rsid w:val="00FD1169"/>
    <w:rsid w:val="00FD12B5"/>
    <w:rsid w:val="00FD12C0"/>
    <w:rsid w:val="00FD13C1"/>
    <w:rsid w:val="00FD1601"/>
    <w:rsid w:val="00FD1675"/>
    <w:rsid w:val="00FD1729"/>
    <w:rsid w:val="00FD18AC"/>
    <w:rsid w:val="00FD18BB"/>
    <w:rsid w:val="00FD1A1E"/>
    <w:rsid w:val="00FD1A39"/>
    <w:rsid w:val="00FD1B9D"/>
    <w:rsid w:val="00FD1C56"/>
    <w:rsid w:val="00FD1DA4"/>
    <w:rsid w:val="00FD1F7F"/>
    <w:rsid w:val="00FD2115"/>
    <w:rsid w:val="00FD2178"/>
    <w:rsid w:val="00FD21B5"/>
    <w:rsid w:val="00FD2395"/>
    <w:rsid w:val="00FD256D"/>
    <w:rsid w:val="00FD264E"/>
    <w:rsid w:val="00FD2772"/>
    <w:rsid w:val="00FD2882"/>
    <w:rsid w:val="00FD2912"/>
    <w:rsid w:val="00FD2A0B"/>
    <w:rsid w:val="00FD2B01"/>
    <w:rsid w:val="00FD2C7F"/>
    <w:rsid w:val="00FD2C9E"/>
    <w:rsid w:val="00FD2D61"/>
    <w:rsid w:val="00FD2DCE"/>
    <w:rsid w:val="00FD2F91"/>
    <w:rsid w:val="00FD33C9"/>
    <w:rsid w:val="00FD3592"/>
    <w:rsid w:val="00FD3674"/>
    <w:rsid w:val="00FD3703"/>
    <w:rsid w:val="00FD3A29"/>
    <w:rsid w:val="00FD3DD6"/>
    <w:rsid w:val="00FD3DE3"/>
    <w:rsid w:val="00FD3E75"/>
    <w:rsid w:val="00FD40EC"/>
    <w:rsid w:val="00FD432D"/>
    <w:rsid w:val="00FD45D4"/>
    <w:rsid w:val="00FD475E"/>
    <w:rsid w:val="00FD47C7"/>
    <w:rsid w:val="00FD483C"/>
    <w:rsid w:val="00FD4857"/>
    <w:rsid w:val="00FD4875"/>
    <w:rsid w:val="00FD4A1B"/>
    <w:rsid w:val="00FD4A69"/>
    <w:rsid w:val="00FD4C03"/>
    <w:rsid w:val="00FD4C70"/>
    <w:rsid w:val="00FD5055"/>
    <w:rsid w:val="00FD525C"/>
    <w:rsid w:val="00FD5300"/>
    <w:rsid w:val="00FD5312"/>
    <w:rsid w:val="00FD542E"/>
    <w:rsid w:val="00FD5551"/>
    <w:rsid w:val="00FD5581"/>
    <w:rsid w:val="00FD559B"/>
    <w:rsid w:val="00FD56B7"/>
    <w:rsid w:val="00FD578E"/>
    <w:rsid w:val="00FD5860"/>
    <w:rsid w:val="00FD5A2D"/>
    <w:rsid w:val="00FD5ADF"/>
    <w:rsid w:val="00FD660C"/>
    <w:rsid w:val="00FD6620"/>
    <w:rsid w:val="00FD6653"/>
    <w:rsid w:val="00FD6B1A"/>
    <w:rsid w:val="00FD6B4A"/>
    <w:rsid w:val="00FD6C15"/>
    <w:rsid w:val="00FD6C27"/>
    <w:rsid w:val="00FD6F63"/>
    <w:rsid w:val="00FD72E2"/>
    <w:rsid w:val="00FD76B5"/>
    <w:rsid w:val="00FD7849"/>
    <w:rsid w:val="00FD78C8"/>
    <w:rsid w:val="00FD7949"/>
    <w:rsid w:val="00FD7B34"/>
    <w:rsid w:val="00FD7C5D"/>
    <w:rsid w:val="00FD7D7B"/>
    <w:rsid w:val="00FD7EF3"/>
    <w:rsid w:val="00FD7F96"/>
    <w:rsid w:val="00FE00CB"/>
    <w:rsid w:val="00FE012A"/>
    <w:rsid w:val="00FE01F4"/>
    <w:rsid w:val="00FE0295"/>
    <w:rsid w:val="00FE067D"/>
    <w:rsid w:val="00FE06EB"/>
    <w:rsid w:val="00FE081A"/>
    <w:rsid w:val="00FE09D8"/>
    <w:rsid w:val="00FE0B65"/>
    <w:rsid w:val="00FE0B7D"/>
    <w:rsid w:val="00FE0C3F"/>
    <w:rsid w:val="00FE0E51"/>
    <w:rsid w:val="00FE0EAF"/>
    <w:rsid w:val="00FE1348"/>
    <w:rsid w:val="00FE1601"/>
    <w:rsid w:val="00FE177C"/>
    <w:rsid w:val="00FE1969"/>
    <w:rsid w:val="00FE1B02"/>
    <w:rsid w:val="00FE1BC4"/>
    <w:rsid w:val="00FE1BDE"/>
    <w:rsid w:val="00FE1BE2"/>
    <w:rsid w:val="00FE1DA0"/>
    <w:rsid w:val="00FE1FE2"/>
    <w:rsid w:val="00FE2372"/>
    <w:rsid w:val="00FE2458"/>
    <w:rsid w:val="00FE24B7"/>
    <w:rsid w:val="00FE26D0"/>
    <w:rsid w:val="00FE2850"/>
    <w:rsid w:val="00FE2AA6"/>
    <w:rsid w:val="00FE2B0E"/>
    <w:rsid w:val="00FE2DAB"/>
    <w:rsid w:val="00FE2E7C"/>
    <w:rsid w:val="00FE2EDA"/>
    <w:rsid w:val="00FE2FB0"/>
    <w:rsid w:val="00FE2FFB"/>
    <w:rsid w:val="00FE347F"/>
    <w:rsid w:val="00FE3589"/>
    <w:rsid w:val="00FE3608"/>
    <w:rsid w:val="00FE37E3"/>
    <w:rsid w:val="00FE399C"/>
    <w:rsid w:val="00FE3A4C"/>
    <w:rsid w:val="00FE3D47"/>
    <w:rsid w:val="00FE3D76"/>
    <w:rsid w:val="00FE3F35"/>
    <w:rsid w:val="00FE4061"/>
    <w:rsid w:val="00FE40E8"/>
    <w:rsid w:val="00FE413C"/>
    <w:rsid w:val="00FE4349"/>
    <w:rsid w:val="00FE4465"/>
    <w:rsid w:val="00FE44DF"/>
    <w:rsid w:val="00FE45EE"/>
    <w:rsid w:val="00FE461C"/>
    <w:rsid w:val="00FE461F"/>
    <w:rsid w:val="00FE467A"/>
    <w:rsid w:val="00FE49C3"/>
    <w:rsid w:val="00FE4BB0"/>
    <w:rsid w:val="00FE4BE8"/>
    <w:rsid w:val="00FE4D02"/>
    <w:rsid w:val="00FE4D5F"/>
    <w:rsid w:val="00FE4D7E"/>
    <w:rsid w:val="00FE4F86"/>
    <w:rsid w:val="00FE50EC"/>
    <w:rsid w:val="00FE510A"/>
    <w:rsid w:val="00FE51E5"/>
    <w:rsid w:val="00FE55CA"/>
    <w:rsid w:val="00FE56F3"/>
    <w:rsid w:val="00FE5923"/>
    <w:rsid w:val="00FE5955"/>
    <w:rsid w:val="00FE5D1A"/>
    <w:rsid w:val="00FE5E2B"/>
    <w:rsid w:val="00FE6065"/>
    <w:rsid w:val="00FE61A1"/>
    <w:rsid w:val="00FE6275"/>
    <w:rsid w:val="00FE680B"/>
    <w:rsid w:val="00FE6940"/>
    <w:rsid w:val="00FE6A23"/>
    <w:rsid w:val="00FE6B32"/>
    <w:rsid w:val="00FE6B3C"/>
    <w:rsid w:val="00FE6E2B"/>
    <w:rsid w:val="00FE6F93"/>
    <w:rsid w:val="00FE7122"/>
    <w:rsid w:val="00FE7184"/>
    <w:rsid w:val="00FE71B5"/>
    <w:rsid w:val="00FE71F6"/>
    <w:rsid w:val="00FE7604"/>
    <w:rsid w:val="00FE771A"/>
    <w:rsid w:val="00FE7845"/>
    <w:rsid w:val="00FE7B87"/>
    <w:rsid w:val="00FE7BD8"/>
    <w:rsid w:val="00FE7E00"/>
    <w:rsid w:val="00FE7F4E"/>
    <w:rsid w:val="00FF00E0"/>
    <w:rsid w:val="00FF01A3"/>
    <w:rsid w:val="00FF02F1"/>
    <w:rsid w:val="00FF046C"/>
    <w:rsid w:val="00FF068A"/>
    <w:rsid w:val="00FF070D"/>
    <w:rsid w:val="00FF0851"/>
    <w:rsid w:val="00FF086C"/>
    <w:rsid w:val="00FF0DEE"/>
    <w:rsid w:val="00FF123D"/>
    <w:rsid w:val="00FF13FE"/>
    <w:rsid w:val="00FF1404"/>
    <w:rsid w:val="00FF15FC"/>
    <w:rsid w:val="00FF1675"/>
    <w:rsid w:val="00FF16BC"/>
    <w:rsid w:val="00FF1926"/>
    <w:rsid w:val="00FF1AC4"/>
    <w:rsid w:val="00FF1E71"/>
    <w:rsid w:val="00FF2123"/>
    <w:rsid w:val="00FF2233"/>
    <w:rsid w:val="00FF237C"/>
    <w:rsid w:val="00FF2412"/>
    <w:rsid w:val="00FF253A"/>
    <w:rsid w:val="00FF25AA"/>
    <w:rsid w:val="00FF2608"/>
    <w:rsid w:val="00FF27EA"/>
    <w:rsid w:val="00FF2A4A"/>
    <w:rsid w:val="00FF2F7C"/>
    <w:rsid w:val="00FF3142"/>
    <w:rsid w:val="00FF321B"/>
    <w:rsid w:val="00FF349E"/>
    <w:rsid w:val="00FF34F3"/>
    <w:rsid w:val="00FF3764"/>
    <w:rsid w:val="00FF3779"/>
    <w:rsid w:val="00FF3898"/>
    <w:rsid w:val="00FF390E"/>
    <w:rsid w:val="00FF392A"/>
    <w:rsid w:val="00FF39D0"/>
    <w:rsid w:val="00FF3A18"/>
    <w:rsid w:val="00FF3B49"/>
    <w:rsid w:val="00FF3B79"/>
    <w:rsid w:val="00FF407D"/>
    <w:rsid w:val="00FF4095"/>
    <w:rsid w:val="00FF4111"/>
    <w:rsid w:val="00FF419E"/>
    <w:rsid w:val="00FF4596"/>
    <w:rsid w:val="00FF4660"/>
    <w:rsid w:val="00FF4699"/>
    <w:rsid w:val="00FF4832"/>
    <w:rsid w:val="00FF4910"/>
    <w:rsid w:val="00FF493E"/>
    <w:rsid w:val="00FF4CED"/>
    <w:rsid w:val="00FF4E41"/>
    <w:rsid w:val="00FF4E5D"/>
    <w:rsid w:val="00FF50AA"/>
    <w:rsid w:val="00FF5519"/>
    <w:rsid w:val="00FF57B2"/>
    <w:rsid w:val="00FF58B4"/>
    <w:rsid w:val="00FF5939"/>
    <w:rsid w:val="00FF5998"/>
    <w:rsid w:val="00FF5BC5"/>
    <w:rsid w:val="00FF5C3A"/>
    <w:rsid w:val="00FF5D03"/>
    <w:rsid w:val="00FF5D36"/>
    <w:rsid w:val="00FF5D8B"/>
    <w:rsid w:val="00FF6045"/>
    <w:rsid w:val="00FF62DB"/>
    <w:rsid w:val="00FF62E7"/>
    <w:rsid w:val="00FF6763"/>
    <w:rsid w:val="00FF6785"/>
    <w:rsid w:val="00FF6791"/>
    <w:rsid w:val="00FF68D5"/>
    <w:rsid w:val="00FF6B7B"/>
    <w:rsid w:val="00FF6B7F"/>
    <w:rsid w:val="00FF6B95"/>
    <w:rsid w:val="00FF6BCC"/>
    <w:rsid w:val="00FF6F66"/>
    <w:rsid w:val="00FF6FEE"/>
    <w:rsid w:val="00FF7060"/>
    <w:rsid w:val="00FF728D"/>
    <w:rsid w:val="00FF75C2"/>
    <w:rsid w:val="00FF76A6"/>
    <w:rsid w:val="00FF7851"/>
    <w:rsid w:val="00FF7AF8"/>
    <w:rsid w:val="00FF7C6E"/>
    <w:rsid w:val="00FF7C8A"/>
    <w:rsid w:val="00FF7E7B"/>
    <w:rsid w:val="00FF7F19"/>
    <w:rsid w:val="00FF7F99"/>
    <w:rsid w:val="013CDCEC"/>
    <w:rsid w:val="01594189"/>
    <w:rsid w:val="05A4368A"/>
    <w:rsid w:val="062F71F6"/>
    <w:rsid w:val="069E1A99"/>
    <w:rsid w:val="06A9DD8A"/>
    <w:rsid w:val="07177F20"/>
    <w:rsid w:val="07AA5CFE"/>
    <w:rsid w:val="08B2DE35"/>
    <w:rsid w:val="0990D2B7"/>
    <w:rsid w:val="0A629DAF"/>
    <w:rsid w:val="0A8C2D26"/>
    <w:rsid w:val="0C4901E1"/>
    <w:rsid w:val="0D2F74EC"/>
    <w:rsid w:val="0FA09F62"/>
    <w:rsid w:val="10312697"/>
    <w:rsid w:val="112F2B47"/>
    <w:rsid w:val="11DF69AC"/>
    <w:rsid w:val="135A8FAB"/>
    <w:rsid w:val="13709D28"/>
    <w:rsid w:val="14326C06"/>
    <w:rsid w:val="14B0D48E"/>
    <w:rsid w:val="14B8EB2D"/>
    <w:rsid w:val="14EA4C14"/>
    <w:rsid w:val="150B7D45"/>
    <w:rsid w:val="16E51532"/>
    <w:rsid w:val="176BCCB8"/>
    <w:rsid w:val="1804488F"/>
    <w:rsid w:val="198F46E0"/>
    <w:rsid w:val="19F016A6"/>
    <w:rsid w:val="1A55DCAA"/>
    <w:rsid w:val="1A9B5F3F"/>
    <w:rsid w:val="1ACC204F"/>
    <w:rsid w:val="1BD976DE"/>
    <w:rsid w:val="1EFAF636"/>
    <w:rsid w:val="1F17EF29"/>
    <w:rsid w:val="20067B70"/>
    <w:rsid w:val="20E8B4F2"/>
    <w:rsid w:val="21EAEABB"/>
    <w:rsid w:val="22E38B0E"/>
    <w:rsid w:val="22E81783"/>
    <w:rsid w:val="232725AE"/>
    <w:rsid w:val="23D0FA4A"/>
    <w:rsid w:val="244CBBCF"/>
    <w:rsid w:val="24EFE5A5"/>
    <w:rsid w:val="2511BAD8"/>
    <w:rsid w:val="269739F6"/>
    <w:rsid w:val="271D3306"/>
    <w:rsid w:val="276BFA2A"/>
    <w:rsid w:val="2793A464"/>
    <w:rsid w:val="28CB5CBB"/>
    <w:rsid w:val="299A9C8D"/>
    <w:rsid w:val="29ED38AC"/>
    <w:rsid w:val="29FBA0DF"/>
    <w:rsid w:val="2AC1CAA5"/>
    <w:rsid w:val="2B7C63A6"/>
    <w:rsid w:val="2C1446DF"/>
    <w:rsid w:val="2CF52996"/>
    <w:rsid w:val="2DFFB4C4"/>
    <w:rsid w:val="2E256F4F"/>
    <w:rsid w:val="2E9CAD3A"/>
    <w:rsid w:val="3331A20D"/>
    <w:rsid w:val="33706DD8"/>
    <w:rsid w:val="33939625"/>
    <w:rsid w:val="346837B2"/>
    <w:rsid w:val="35A278BB"/>
    <w:rsid w:val="38A76E01"/>
    <w:rsid w:val="39254A19"/>
    <w:rsid w:val="3968F75B"/>
    <w:rsid w:val="3AF44DFB"/>
    <w:rsid w:val="3BB68AF0"/>
    <w:rsid w:val="3C7C0368"/>
    <w:rsid w:val="3D01CE6A"/>
    <w:rsid w:val="3D832B2F"/>
    <w:rsid w:val="3D862EF9"/>
    <w:rsid w:val="3D98AD2A"/>
    <w:rsid w:val="3DB53222"/>
    <w:rsid w:val="3DB9E59F"/>
    <w:rsid w:val="3E1BD653"/>
    <w:rsid w:val="3EFB1988"/>
    <w:rsid w:val="3F244B13"/>
    <w:rsid w:val="4166BA1D"/>
    <w:rsid w:val="4287C075"/>
    <w:rsid w:val="433DC4A6"/>
    <w:rsid w:val="44786BEB"/>
    <w:rsid w:val="44C78A85"/>
    <w:rsid w:val="45A95356"/>
    <w:rsid w:val="4679342B"/>
    <w:rsid w:val="472FBCB9"/>
    <w:rsid w:val="4736A2D0"/>
    <w:rsid w:val="47DBF478"/>
    <w:rsid w:val="4B581924"/>
    <w:rsid w:val="4C105BBB"/>
    <w:rsid w:val="4E510BB7"/>
    <w:rsid w:val="4EAEA8B7"/>
    <w:rsid w:val="507D6C83"/>
    <w:rsid w:val="50E86E86"/>
    <w:rsid w:val="52540A2B"/>
    <w:rsid w:val="52F0F905"/>
    <w:rsid w:val="5302C576"/>
    <w:rsid w:val="53147E19"/>
    <w:rsid w:val="53BD35A7"/>
    <w:rsid w:val="561AE63B"/>
    <w:rsid w:val="5697674D"/>
    <w:rsid w:val="57472924"/>
    <w:rsid w:val="589188D0"/>
    <w:rsid w:val="58F00F8B"/>
    <w:rsid w:val="5916FA02"/>
    <w:rsid w:val="59B09FF0"/>
    <w:rsid w:val="5A947498"/>
    <w:rsid w:val="5BE066F8"/>
    <w:rsid w:val="5C07E378"/>
    <w:rsid w:val="5CBE3E66"/>
    <w:rsid w:val="5CF39193"/>
    <w:rsid w:val="5D99CFF0"/>
    <w:rsid w:val="5DD56BEF"/>
    <w:rsid w:val="5DDC7359"/>
    <w:rsid w:val="5F97C535"/>
    <w:rsid w:val="602871E9"/>
    <w:rsid w:val="6074C7D6"/>
    <w:rsid w:val="60B8D00A"/>
    <w:rsid w:val="617E12F6"/>
    <w:rsid w:val="6182EFA4"/>
    <w:rsid w:val="61B3DBC7"/>
    <w:rsid w:val="67CFF843"/>
    <w:rsid w:val="6835A894"/>
    <w:rsid w:val="685E5142"/>
    <w:rsid w:val="6868B2F5"/>
    <w:rsid w:val="691538F8"/>
    <w:rsid w:val="6B79EB49"/>
    <w:rsid w:val="6E81EF69"/>
    <w:rsid w:val="702589B9"/>
    <w:rsid w:val="70FDA5FC"/>
    <w:rsid w:val="71226B6B"/>
    <w:rsid w:val="7250C487"/>
    <w:rsid w:val="74042790"/>
    <w:rsid w:val="74808E30"/>
    <w:rsid w:val="7586350E"/>
    <w:rsid w:val="75EEACF1"/>
    <w:rsid w:val="775749AC"/>
    <w:rsid w:val="77821DCC"/>
    <w:rsid w:val="79F29079"/>
    <w:rsid w:val="7A49E8CA"/>
    <w:rsid w:val="7A75753D"/>
    <w:rsid w:val="7ABA9DE0"/>
    <w:rsid w:val="7AD4215C"/>
    <w:rsid w:val="7D6100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488A"/>
  <w15:docId w15:val="{4A83CED7-DA3F-4F37-AF79-048DE246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F91"/>
    <w:pPr>
      <w:spacing w:after="0" w:line="240" w:lineRule="auto"/>
      <w:jc w:val="both"/>
    </w:pPr>
    <w:rPr>
      <w:rFonts w:eastAsiaTheme="minorEastAsia"/>
    </w:rPr>
  </w:style>
  <w:style w:type="paragraph" w:styleId="Titre1">
    <w:name w:val="heading 1"/>
    <w:aliases w:val="charte T1,charte T 1,Titre 11,t1.T1.Titre 1,t1.T1"/>
    <w:basedOn w:val="Normal"/>
    <w:next w:val="Normal"/>
    <w:uiPriority w:val="99"/>
    <w:qFormat/>
    <w:rsid w:val="00824313"/>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sz w:val="24"/>
      <w:szCs w:val="24"/>
    </w:rPr>
  </w:style>
  <w:style w:type="paragraph" w:styleId="Titre2">
    <w:name w:val="heading 2"/>
    <w:aliases w:val="charte T2,paragraphe,Contrat 2,Ctt,niveau 2,H2,Fonctionnalité,Titre 21,t2.T2"/>
    <w:basedOn w:val="Normal"/>
    <w:next w:val="Normal"/>
    <w:uiPriority w:val="99"/>
    <w:unhideWhenUsed/>
    <w:qFormat/>
    <w:rsid w:val="00824313"/>
    <w:pPr>
      <w:spacing w:before="200" w:after="80"/>
      <w:outlineLvl w:val="1"/>
    </w:pPr>
    <w:rPr>
      <w:rFonts w:asciiTheme="majorHAnsi" w:eastAsiaTheme="majorEastAsia" w:hAnsiTheme="majorHAnsi" w:cstheme="majorBidi"/>
      <w:color w:val="2F5496" w:themeColor="accent1" w:themeShade="BF"/>
      <w:sz w:val="24"/>
      <w:szCs w:val="24"/>
    </w:rPr>
  </w:style>
  <w:style w:type="paragraph" w:styleId="Titre3">
    <w:name w:val="heading 3"/>
    <w:basedOn w:val="Normal"/>
    <w:next w:val="Normal"/>
    <w:uiPriority w:val="9"/>
    <w:unhideWhenUsed/>
    <w:qFormat/>
    <w:rsid w:val="00C075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uiPriority w:val="9"/>
    <w:unhideWhenUsed/>
    <w:qFormat/>
    <w:rsid w:val="007541FC"/>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uiPriority w:val="9"/>
    <w:unhideWhenUsed/>
    <w:qFormat/>
    <w:rsid w:val="00F77427"/>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uiPriority w:val="9"/>
    <w:unhideWhenUsed/>
    <w:qFormat/>
    <w:rsid w:val="00585043"/>
    <w:pPr>
      <w:keepNext/>
      <w:keepLines/>
      <w:spacing w:before="40"/>
      <w:outlineLvl w:val="5"/>
    </w:pPr>
    <w:rPr>
      <w:color w:val="1F3864" w:themeColor="accent1" w:themeShade="80"/>
    </w:rPr>
  </w:style>
  <w:style w:type="paragraph" w:styleId="Titre7">
    <w:name w:val="heading 7"/>
    <w:basedOn w:val="Normal"/>
    <w:next w:val="Normal"/>
    <w:uiPriority w:val="9"/>
    <w:semiHidden/>
    <w:unhideWhenUsed/>
    <w:qFormat/>
    <w:rsid w:val="00585043"/>
    <w:pPr>
      <w:keepNext/>
      <w:keepLines/>
      <w:spacing w:before="40"/>
      <w:outlineLvl w:val="6"/>
    </w:pPr>
    <w:rPr>
      <w:rFonts w:asciiTheme="majorHAnsi" w:eastAsiaTheme="majorEastAsia" w:hAnsiTheme="majorHAnsi" w:cstheme="majorBidi"/>
      <w:i/>
      <w:iCs/>
      <w:color w:val="1F3864" w:themeColor="accent1" w:themeShade="80"/>
    </w:rPr>
  </w:style>
  <w:style w:type="paragraph" w:styleId="Titre8">
    <w:name w:val="heading 8"/>
    <w:basedOn w:val="Normal"/>
    <w:next w:val="Normal"/>
    <w:uiPriority w:val="9"/>
    <w:semiHidden/>
    <w:unhideWhenUsed/>
    <w:qFormat/>
    <w:rsid w:val="00585043"/>
    <w:pPr>
      <w:keepNext/>
      <w:keepLines/>
      <w:spacing w:before="40"/>
      <w:outlineLvl w:val="7"/>
    </w:pPr>
    <w:rPr>
      <w:color w:val="262626" w:themeColor="text1" w:themeTint="D9"/>
      <w:sz w:val="21"/>
      <w:szCs w:val="21"/>
    </w:rPr>
  </w:style>
  <w:style w:type="paragraph" w:styleId="Titre9">
    <w:name w:val="heading 9"/>
    <w:basedOn w:val="Normal"/>
    <w:next w:val="Normal"/>
    <w:uiPriority w:val="9"/>
    <w:semiHidden/>
    <w:unhideWhenUsed/>
    <w:qFormat/>
    <w:rsid w:val="00585043"/>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lgre">
    <w:name w:val="Subtle Emphasis"/>
    <w:uiPriority w:val="19"/>
    <w:qFormat/>
    <w:rsid w:val="00824313"/>
    <w:rPr>
      <w:i/>
      <w:iCs/>
      <w:color w:val="5A5A5A" w:themeColor="text1" w:themeTint="A5"/>
    </w:rPr>
  </w:style>
  <w:style w:type="paragraph" w:styleId="En-tte">
    <w:name w:val="header"/>
    <w:basedOn w:val="Normal"/>
    <w:link w:val="En-tteCar1"/>
    <w:uiPriority w:val="99"/>
    <w:unhideWhenUsed/>
    <w:rsid w:val="00144E61"/>
    <w:pPr>
      <w:tabs>
        <w:tab w:val="center" w:pos="4536"/>
        <w:tab w:val="right" w:pos="9072"/>
      </w:tabs>
    </w:pPr>
  </w:style>
  <w:style w:type="character" w:customStyle="1" w:styleId="En-tteCar1">
    <w:name w:val="En-tête Car1"/>
    <w:basedOn w:val="Policepardfaut"/>
    <w:link w:val="En-tte"/>
    <w:uiPriority w:val="99"/>
    <w:semiHidden/>
    <w:rsid w:val="00824313"/>
    <w:rPr>
      <w:rFonts w:eastAsiaTheme="minorEastAsia"/>
    </w:rPr>
  </w:style>
  <w:style w:type="paragraph" w:styleId="Pieddepage">
    <w:name w:val="footer"/>
    <w:basedOn w:val="Normal"/>
    <w:link w:val="PieddepageCar1"/>
    <w:uiPriority w:val="99"/>
    <w:unhideWhenUsed/>
    <w:rsid w:val="00144E61"/>
    <w:pPr>
      <w:tabs>
        <w:tab w:val="center" w:pos="4536"/>
        <w:tab w:val="right" w:pos="9072"/>
      </w:tabs>
    </w:pPr>
  </w:style>
  <w:style w:type="character" w:customStyle="1" w:styleId="PieddepageCar1">
    <w:name w:val="Pied de page Car1"/>
    <w:basedOn w:val="Policepardfaut"/>
    <w:link w:val="Pieddepage"/>
    <w:uiPriority w:val="99"/>
    <w:semiHidden/>
    <w:rsid w:val="00824313"/>
    <w:rPr>
      <w:rFonts w:eastAsiaTheme="minorEastAsia"/>
    </w:rPr>
  </w:style>
  <w:style w:type="paragraph" w:styleId="Paragraphedeliste">
    <w:name w:val="List Paragraph"/>
    <w:basedOn w:val="Normal"/>
    <w:uiPriority w:val="34"/>
    <w:qFormat/>
    <w:rsid w:val="00C3157C"/>
    <w:pPr>
      <w:ind w:left="720"/>
      <w:contextualSpacing/>
    </w:pPr>
  </w:style>
  <w:style w:type="character" w:styleId="Lienhypertexte">
    <w:name w:val="Hyperlink"/>
    <w:basedOn w:val="Policepardfaut"/>
    <w:uiPriority w:val="99"/>
    <w:unhideWhenUsed/>
    <w:rsid w:val="00CD52E5"/>
    <w:rPr>
      <w:color w:val="0563C1" w:themeColor="hyperlink"/>
      <w:u w:val="single"/>
    </w:rPr>
  </w:style>
  <w:style w:type="character" w:styleId="Mentionnonrsolue">
    <w:name w:val="Unresolved Mention"/>
    <w:basedOn w:val="Policepardfaut"/>
    <w:uiPriority w:val="99"/>
    <w:semiHidden/>
    <w:unhideWhenUsed/>
    <w:rsid w:val="00B106BD"/>
    <w:rPr>
      <w:color w:val="605E5C"/>
      <w:shd w:val="clear" w:color="auto" w:fill="E1DFDD"/>
    </w:rPr>
  </w:style>
  <w:style w:type="character" w:styleId="Appeldenotedefin">
    <w:name w:val="endnote reference"/>
    <w:basedOn w:val="Policepardfaut"/>
    <w:uiPriority w:val="99"/>
    <w:semiHidden/>
    <w:unhideWhenUsed/>
    <w:rsid w:val="00B61C2E"/>
    <w:rPr>
      <w:vertAlign w:val="superscript"/>
    </w:rPr>
  </w:style>
  <w:style w:type="character" w:styleId="Accentuation">
    <w:name w:val="Emphasis"/>
    <w:basedOn w:val="Policepardfaut"/>
    <w:uiPriority w:val="20"/>
    <w:qFormat/>
    <w:rsid w:val="00900493"/>
    <w:rPr>
      <w:i/>
      <w:iCs/>
    </w:rPr>
  </w:style>
  <w:style w:type="paragraph" w:customStyle="1" w:styleId="editorpreview">
    <w:name w:val="editorpreview"/>
    <w:basedOn w:val="Normal"/>
    <w:rsid w:val="00F01208"/>
    <w:pPr>
      <w:spacing w:before="100" w:beforeAutospacing="1" w:after="100" w:afterAutospacing="1"/>
      <w:jc w:val="left"/>
    </w:pPr>
    <w:rPr>
      <w:rFonts w:ascii="Times New Roman" w:eastAsia="Times New Roman" w:hAnsi="Times New Roman" w:cs="Times New Roman"/>
      <w:sz w:val="24"/>
      <w:szCs w:val="24"/>
      <w:lang w:eastAsia="fr-FR"/>
    </w:rPr>
  </w:style>
  <w:style w:type="paragraph" w:styleId="Sansinterligne">
    <w:name w:val="No Spacing"/>
    <w:uiPriority w:val="1"/>
    <w:qFormat/>
    <w:rsid w:val="00273222"/>
    <w:pPr>
      <w:spacing w:after="0" w:line="240" w:lineRule="auto"/>
      <w:jc w:val="both"/>
    </w:pPr>
    <w:rPr>
      <w:rFonts w:eastAsiaTheme="minorEastAsia"/>
    </w:rPr>
  </w:style>
  <w:style w:type="character" w:customStyle="1" w:styleId="ui-provider">
    <w:name w:val="ui-provider"/>
    <w:basedOn w:val="Policepardfaut"/>
    <w:rsid w:val="00F82485"/>
  </w:style>
  <w:style w:type="character" w:styleId="lev">
    <w:name w:val="Strong"/>
    <w:basedOn w:val="Policepardfaut"/>
    <w:uiPriority w:val="22"/>
    <w:qFormat/>
    <w:rsid w:val="0003386C"/>
    <w:rPr>
      <w:b/>
      <w:bCs/>
    </w:rPr>
  </w:style>
  <w:style w:type="paragraph" w:styleId="NormalWeb">
    <w:name w:val="Normal (Web)"/>
    <w:basedOn w:val="Normal"/>
    <w:uiPriority w:val="99"/>
    <w:semiHidden/>
    <w:unhideWhenUsed/>
    <w:rsid w:val="000316DF"/>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Titredulivre">
    <w:name w:val="Book Title"/>
    <w:basedOn w:val="Policepardfaut"/>
    <w:uiPriority w:val="33"/>
    <w:qFormat/>
    <w:rsid w:val="001550E0"/>
    <w:rPr>
      <w:b/>
      <w:bCs/>
      <w:i/>
      <w:iCs/>
      <w:spacing w:val="5"/>
    </w:rPr>
  </w:style>
  <w:style w:type="table" w:styleId="Grilledetableauclaire">
    <w:name w:val="Grid Table Light"/>
    <w:basedOn w:val="TableauNormal"/>
    <w:uiPriority w:val="40"/>
    <w:rsid w:val="006173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792A23"/>
    <w:rPr>
      <w:sz w:val="16"/>
      <w:szCs w:val="16"/>
    </w:rPr>
  </w:style>
  <w:style w:type="character" w:customStyle="1" w:styleId="Titre1Car">
    <w:name w:val="Titre 1 Car"/>
    <w:aliases w:val="charte T1 Car,charte T 1 Car,Titre 11 Car,t1.T1.Titre 1 Car,t1.T1 Car"/>
    <w:basedOn w:val="Policepardfaut"/>
    <w:uiPriority w:val="9"/>
    <w:rsid w:val="00280F03"/>
    <w:rPr>
      <w:rFonts w:asciiTheme="majorHAnsi" w:eastAsiaTheme="majorEastAsia" w:hAnsiTheme="majorHAnsi" w:cstheme="majorBidi"/>
      <w:b/>
      <w:bCs/>
      <w:color w:val="2F5496" w:themeColor="accent1" w:themeShade="BF"/>
      <w:sz w:val="24"/>
      <w:szCs w:val="24"/>
    </w:rPr>
  </w:style>
  <w:style w:type="character" w:customStyle="1" w:styleId="Titre2Car">
    <w:name w:val="Titre 2 Car"/>
    <w:aliases w:val="charte T2 Car,paragraphe Car,Contrat 2 Car,Ctt Car,niveau 2 Car,H2 Car,Fonctionnalité Car,Titre 21 Car,t2.T2 Car"/>
    <w:basedOn w:val="Policepardfaut"/>
    <w:uiPriority w:val="9"/>
    <w:rsid w:val="00280F03"/>
    <w:rPr>
      <w:rFonts w:asciiTheme="majorHAnsi" w:eastAsiaTheme="majorEastAsia" w:hAnsiTheme="majorHAnsi" w:cstheme="majorBidi"/>
      <w:color w:val="2F5496" w:themeColor="accent1" w:themeShade="BF"/>
      <w:sz w:val="24"/>
      <w:szCs w:val="24"/>
    </w:rPr>
  </w:style>
  <w:style w:type="character" w:customStyle="1" w:styleId="TitreCar">
    <w:name w:val="Titre Car"/>
    <w:basedOn w:val="Policepardfaut"/>
    <w:link w:val="Titre"/>
    <w:rsid w:val="00280F03"/>
    <w:rPr>
      <w:rFonts w:asciiTheme="majorHAnsi" w:eastAsiaTheme="majorEastAsia" w:hAnsiTheme="majorHAnsi" w:cstheme="majorBidi"/>
      <w:i/>
      <w:iCs/>
      <w:color w:val="1F3763" w:themeColor="accent1" w:themeShade="7F"/>
      <w:sz w:val="60"/>
      <w:szCs w:val="60"/>
    </w:rPr>
  </w:style>
  <w:style w:type="character" w:customStyle="1" w:styleId="En-tteCar">
    <w:name w:val="En-tête Car"/>
    <w:basedOn w:val="Policepardfaut"/>
    <w:uiPriority w:val="99"/>
    <w:rsid w:val="00280F03"/>
    <w:rPr>
      <w:rFonts w:eastAsiaTheme="minorEastAsia"/>
    </w:rPr>
  </w:style>
  <w:style w:type="character" w:customStyle="1" w:styleId="PieddepageCar">
    <w:name w:val="Pied de page Car"/>
    <w:basedOn w:val="Policepardfaut"/>
    <w:uiPriority w:val="99"/>
    <w:rsid w:val="00280F03"/>
    <w:rPr>
      <w:rFonts w:eastAsiaTheme="minorEastAsia"/>
    </w:rPr>
  </w:style>
  <w:style w:type="character" w:customStyle="1" w:styleId="Titre3Car">
    <w:name w:val="Titre 3 Car"/>
    <w:basedOn w:val="Policepardfaut"/>
    <w:uiPriority w:val="9"/>
    <w:rsid w:val="00280F03"/>
    <w:rPr>
      <w:rFonts w:asciiTheme="majorHAnsi" w:eastAsiaTheme="majorEastAsia" w:hAnsiTheme="majorHAnsi" w:cstheme="majorBidi"/>
      <w:color w:val="1F3763" w:themeColor="accent1" w:themeShade="7F"/>
      <w:sz w:val="24"/>
      <w:szCs w:val="24"/>
    </w:rPr>
  </w:style>
  <w:style w:type="character" w:customStyle="1" w:styleId="TextedebullesCar">
    <w:name w:val="Texte de bulles Car"/>
    <w:basedOn w:val="Policepardfaut"/>
    <w:uiPriority w:val="99"/>
    <w:semiHidden/>
    <w:rsid w:val="00280F03"/>
    <w:rPr>
      <w:rFonts w:ascii="Segoe UI" w:eastAsiaTheme="minorEastAsia" w:hAnsi="Segoe UI" w:cs="Segoe UI"/>
      <w:sz w:val="18"/>
      <w:szCs w:val="18"/>
    </w:rPr>
  </w:style>
  <w:style w:type="character" w:customStyle="1" w:styleId="PrformatHTMLCar">
    <w:name w:val="Préformaté HTML Car"/>
    <w:basedOn w:val="Policepardfaut"/>
    <w:uiPriority w:val="99"/>
    <w:semiHidden/>
    <w:rsid w:val="00280F03"/>
    <w:rPr>
      <w:rFonts w:ascii="Courier New" w:eastAsia="Times New Roman" w:hAnsi="Courier New" w:cs="Courier New"/>
      <w:sz w:val="20"/>
      <w:szCs w:val="20"/>
      <w:lang w:eastAsia="fr-FR"/>
    </w:rPr>
  </w:style>
  <w:style w:type="character" w:customStyle="1" w:styleId="Titre4Car">
    <w:name w:val="Titre 4 Car"/>
    <w:basedOn w:val="Policepardfaut"/>
    <w:uiPriority w:val="9"/>
    <w:rsid w:val="00280F03"/>
    <w:rPr>
      <w:rFonts w:asciiTheme="majorHAnsi" w:eastAsiaTheme="majorEastAsia" w:hAnsiTheme="majorHAnsi" w:cstheme="majorBidi"/>
      <w:i/>
      <w:iCs/>
      <w:color w:val="2F5496" w:themeColor="accent1" w:themeShade="BF"/>
    </w:rPr>
  </w:style>
  <w:style w:type="character" w:customStyle="1" w:styleId="NotedefinCar">
    <w:name w:val="Note de fin Car"/>
    <w:basedOn w:val="Policepardfaut"/>
    <w:uiPriority w:val="99"/>
    <w:semiHidden/>
    <w:rsid w:val="00280F03"/>
    <w:rPr>
      <w:rFonts w:eastAsiaTheme="minorEastAsia"/>
      <w:sz w:val="20"/>
      <w:szCs w:val="20"/>
    </w:rPr>
  </w:style>
  <w:style w:type="character" w:customStyle="1" w:styleId="Titre5Car">
    <w:name w:val="Titre 5 Car"/>
    <w:basedOn w:val="Policepardfaut"/>
    <w:uiPriority w:val="9"/>
    <w:rsid w:val="00280F03"/>
    <w:rPr>
      <w:rFonts w:asciiTheme="majorHAnsi" w:eastAsiaTheme="majorEastAsia" w:hAnsiTheme="majorHAnsi" w:cstheme="majorBidi"/>
      <w:color w:val="2F5496" w:themeColor="accent1" w:themeShade="BF"/>
    </w:rPr>
  </w:style>
  <w:style w:type="character" w:customStyle="1" w:styleId="CommentaireCar">
    <w:name w:val="Commentaire Car"/>
    <w:basedOn w:val="Policepardfaut"/>
    <w:uiPriority w:val="99"/>
    <w:rsid w:val="00280F03"/>
    <w:rPr>
      <w:rFonts w:eastAsiaTheme="minorEastAsia"/>
      <w:sz w:val="20"/>
      <w:szCs w:val="20"/>
    </w:rPr>
  </w:style>
  <w:style w:type="character" w:customStyle="1" w:styleId="ObjetducommentaireCar">
    <w:name w:val="Objet du commentaire Car"/>
    <w:basedOn w:val="CommentaireCar"/>
    <w:uiPriority w:val="99"/>
    <w:semiHidden/>
    <w:rsid w:val="00280F03"/>
    <w:rPr>
      <w:rFonts w:eastAsiaTheme="minorEastAsia"/>
      <w:b/>
      <w:bCs/>
      <w:sz w:val="20"/>
      <w:szCs w:val="20"/>
    </w:rPr>
  </w:style>
  <w:style w:type="paragraph" w:styleId="Titre">
    <w:name w:val="Title"/>
    <w:basedOn w:val="Normal"/>
    <w:next w:val="Normal"/>
    <w:link w:val="TitreCar"/>
    <w:qFormat/>
    <w:rsid w:val="00EF11F6"/>
    <w:pPr>
      <w:jc w:val="center"/>
    </w:pPr>
    <w:rPr>
      <w:rFonts w:asciiTheme="majorHAnsi" w:eastAsiaTheme="majorEastAsia" w:hAnsiTheme="majorHAnsi" w:cstheme="majorBidi"/>
      <w:i/>
      <w:iCs/>
      <w:color w:val="1F3763" w:themeColor="accent1" w:themeShade="7F"/>
      <w:sz w:val="60"/>
      <w:szCs w:val="60"/>
    </w:rPr>
  </w:style>
  <w:style w:type="character" w:customStyle="1" w:styleId="TitreCar1">
    <w:name w:val="Titre Car1"/>
    <w:basedOn w:val="Policepardfaut"/>
    <w:rsid w:val="00EF11F6"/>
    <w:rPr>
      <w:rFonts w:asciiTheme="majorHAnsi" w:eastAsiaTheme="majorEastAsia" w:hAnsiTheme="majorHAnsi" w:cstheme="majorBidi"/>
      <w:spacing w:val="-10"/>
      <w:kern w:val="28"/>
      <w:sz w:val="56"/>
      <w:szCs w:val="56"/>
    </w:rPr>
  </w:style>
  <w:style w:type="paragraph" w:styleId="Rvision">
    <w:name w:val="Revision"/>
    <w:hidden/>
    <w:uiPriority w:val="99"/>
    <w:semiHidden/>
    <w:rsid w:val="00612E51"/>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 Type="http://schemas.openxmlformats.org/officeDocument/2006/relationships/image" Target="media/image1.png"/><Relationship Id="rId5" Type="http://schemas.openxmlformats.org/officeDocument/2006/relationships/numbering" Target="numbering.xml"/><Relationship Id="rId118" Type="http://schemas.openxmlformats.org/officeDocument/2006/relationships/hyperlink" Target="https://support.virtualia.fr/view.php?id=19217" TargetMode="External"/><Relationship Id="rId12" Type="http://schemas.openxmlformats.org/officeDocument/2006/relationships/image" Target="media/image2.png"/><Relationship Id="rId17" Type="http://schemas.openxmlformats.org/officeDocument/2006/relationships/image" Target="media/image4.png"/><Relationship Id="rId38" Type="http://schemas.openxmlformats.org/officeDocument/2006/relationships/hyperlink" Target="https://support.virtualia.fr/view.php?id=19331" TargetMode="Externa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3" Type="http://schemas.openxmlformats.org/officeDocument/2006/relationships/header" Target="header1.xml"/><Relationship Id="rId146"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45" Type="http://schemas.openxmlformats.org/officeDocument/2006/relationships/hyperlink" Target="https://support.virtualia.fr/view.php?id=19328" TargetMode="External"/><Relationship Id="rId14" Type="http://schemas.openxmlformats.org/officeDocument/2006/relationships/footer" Target="footer1.xml"/><Relationship Id="rId147"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5" Type="http://schemas.openxmlformats.org/officeDocument/2006/relationships/footer" Target="footer2.xml"/><Relationship Id="rId10" Type="http://schemas.openxmlformats.org/officeDocument/2006/relationships/endnotes" Target="endnotes.xml"/><Relationship Id="rId14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6" Type="http://schemas.openxmlformats.org/officeDocument/2006/relationships/image" Target="media/image3.jpeg"/><Relationship Id="rId144" Type="http://schemas.openxmlformats.org/officeDocument/2006/relationships/header" Target="header2.xml"/><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 Id="rId48" Type="http://schemas.openxmlformats.org/officeDocument/2006/relationships/image" Target="media/image33.pn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png"/><Relationship Id="rId53" Type="http://schemas.openxmlformats.org/officeDocument/2006/relationships/image" Target="media/image38.png"/><Relationship Id="rId54" Type="http://schemas.openxmlformats.org/officeDocument/2006/relationships/image" Target="media/image39.png"/><Relationship Id="rId55" Type="http://schemas.openxmlformats.org/officeDocument/2006/relationships/image" Target="media/image40.png"/><Relationship Id="rId56" Type="http://schemas.openxmlformats.org/officeDocument/2006/relationships/image" Target="media/image41.png"/><Relationship Id="rId57" Type="http://schemas.openxmlformats.org/officeDocument/2006/relationships/image" Target="media/image42.png"/><Relationship Id="rId58" Type="http://schemas.openxmlformats.org/officeDocument/2006/relationships/image" Target="media/image43.png"/><Relationship Id="rId59" Type="http://schemas.openxmlformats.org/officeDocument/2006/relationships/image" Target="media/image44.png"/><Relationship Id="rId60" Type="http://schemas.openxmlformats.org/officeDocument/2006/relationships/image" Target="media/image45.png"/><Relationship Id="rId61" Type="http://schemas.openxmlformats.org/officeDocument/2006/relationships/image" Target="media/image46.png"/><Relationship Id="rId62" Type="http://schemas.openxmlformats.org/officeDocument/2006/relationships/image" Target="media/image47.png"/><Relationship Id="rId63" Type="http://schemas.openxmlformats.org/officeDocument/2006/relationships/image" Target="media/image48.png"/><Relationship Id="rId64" Type="http://schemas.openxmlformats.org/officeDocument/2006/relationships/image" Target="media/image49.png"/><Relationship Id="rId65" Type="http://schemas.openxmlformats.org/officeDocument/2006/relationships/image" Target="media/image50.png"/><Relationship Id="rId66" Type="http://schemas.openxmlformats.org/officeDocument/2006/relationships/image" Target="media/image51.png"/><Relationship Id="rId67" Type="http://schemas.openxmlformats.org/officeDocument/2006/relationships/image" Target="media/image52.png"/><Relationship Id="rId68" Type="http://schemas.openxmlformats.org/officeDocument/2006/relationships/image" Target="media/image53.png"/><Relationship Id="rId69" Type="http://schemas.openxmlformats.org/officeDocument/2006/relationships/image" Target="media/image54.png"/><Relationship Id="rId70" Type="http://schemas.openxmlformats.org/officeDocument/2006/relationships/image" Target="media/image55.png"/><Relationship Id="rId71" Type="http://schemas.openxmlformats.org/officeDocument/2006/relationships/image" Target="media/image56.png"/><Relationship Id="rId72" Type="http://schemas.openxmlformats.org/officeDocument/2006/relationships/image" Target="media/image57.png"/><Relationship Id="rId73" Type="http://schemas.openxmlformats.org/officeDocument/2006/relationships/image" Target="media/image58.png"/><Relationship Id="rId74" Type="http://schemas.openxmlformats.org/officeDocument/2006/relationships/image" Target="media/image59.png"/><Relationship Id="rId75" Type="http://schemas.openxmlformats.org/officeDocument/2006/relationships/image" Target="media/image60.png"/><Relationship Id="rId76" Type="http://schemas.openxmlformats.org/officeDocument/2006/relationships/image" Target="media/image61.png"/><Relationship Id="rId77" Type="http://schemas.openxmlformats.org/officeDocument/2006/relationships/image" Target="media/image62.png"/><Relationship Id="rId78" Type="http://schemas.openxmlformats.org/officeDocument/2006/relationships/image" Target="media/image63.png"/><Relationship Id="rId79" Type="http://schemas.openxmlformats.org/officeDocument/2006/relationships/image" Target="media/image64.png"/><Relationship Id="rId80" Type="http://schemas.openxmlformats.org/officeDocument/2006/relationships/image" Target="media/image65.png"/><Relationship Id="rId81" Type="http://schemas.openxmlformats.org/officeDocument/2006/relationships/image" Target="media/image66.png"/><Relationship Id="rId82" Type="http://schemas.openxmlformats.org/officeDocument/2006/relationships/image" Target="media/image67.png"/><Relationship Id="rId83" Type="http://schemas.openxmlformats.org/officeDocument/2006/relationships/image" Target="media/image68.png"/><Relationship Id="rId84" Type="http://schemas.openxmlformats.org/officeDocument/2006/relationships/image" Target="media/image69.png"/><Relationship Id="rId85" Type="http://schemas.openxmlformats.org/officeDocument/2006/relationships/image" Target="media/image70.png"/><Relationship Id="rId86" Type="http://schemas.openxmlformats.org/officeDocument/2006/relationships/image" Target="media/image71.png"/><Relationship Id="rId87" Type="http://schemas.openxmlformats.org/officeDocument/2006/relationships/image" Target="media/image72.png"/><Relationship Id="rId88" Type="http://schemas.openxmlformats.org/officeDocument/2006/relationships/image" Target="media/image73.png"/><Relationship Id="rId89" Type="http://schemas.openxmlformats.org/officeDocument/2006/relationships/image" Target="media/image74.png"/><Relationship Id="rId90" Type="http://schemas.openxmlformats.org/officeDocument/2006/relationships/image" Target="media/image75.png"/><Relationship Id="rId91" Type="http://schemas.openxmlformats.org/officeDocument/2006/relationships/image" Target="media/image76.png"/><Relationship Id="rId92" Type="http://schemas.openxmlformats.org/officeDocument/2006/relationships/image" Target="media/image77.png"/><Relationship Id="rId93" Type="http://schemas.openxmlformats.org/officeDocument/2006/relationships/image" Target="media/image78.png"/><Relationship Id="rId94" Type="http://schemas.openxmlformats.org/officeDocument/2006/relationships/image" Target="media/image79.png"/><Relationship Id="rId95" Type="http://schemas.openxmlformats.org/officeDocument/2006/relationships/image" Target="media/image80.png"/><Relationship Id="rId96" Type="http://schemas.openxmlformats.org/officeDocument/2006/relationships/image" Target="media/image81.png"/><Relationship Id="rId97" Type="http://schemas.openxmlformats.org/officeDocument/2006/relationships/image" Target="media/image82.png"/><Relationship Id="rId98" Type="http://schemas.openxmlformats.org/officeDocument/2006/relationships/image" Target="media/image83.png"/><Relationship Id="rId99" Type="http://schemas.openxmlformats.org/officeDocument/2006/relationships/image" Target="media/image84.png"/><Relationship Id="rId100" Type="http://schemas.openxmlformats.org/officeDocument/2006/relationships/image" Target="media/image85.png"/><Relationship Id="rId101" Type="http://schemas.openxmlformats.org/officeDocument/2006/relationships/image" Target="media/image86.png"/><Relationship Id="rId102" Type="http://schemas.openxmlformats.org/officeDocument/2006/relationships/image" Target="media/image87.png"/><Relationship Id="rId103" Type="http://schemas.openxmlformats.org/officeDocument/2006/relationships/image" Target="media/image88.png"/><Relationship Id="rId104" Type="http://schemas.openxmlformats.org/officeDocument/2006/relationships/image" Target="media/image89.png"/><Relationship Id="rId105" Type="http://schemas.openxmlformats.org/officeDocument/2006/relationships/image" Target="media/image90.png"/><Relationship Id="rId106" Type="http://schemas.openxmlformats.org/officeDocument/2006/relationships/image" Target="media/image91.png"/><Relationship Id="rId107" Type="http://schemas.openxmlformats.org/officeDocument/2006/relationships/image" Target="media/image92.png"/><Relationship Id="rId108" Type="http://schemas.openxmlformats.org/officeDocument/2006/relationships/image" Target="media/image93.png"/><Relationship Id="rId109" Type="http://schemas.openxmlformats.org/officeDocument/2006/relationships/image" Target="media/image94.png"/><Relationship Id="rId110" Type="http://schemas.openxmlformats.org/officeDocument/2006/relationships/image" Target="media/image95.png"/><Relationship Id="rId111" Type="http://schemas.openxmlformats.org/officeDocument/2006/relationships/image" Target="media/image96.png"/><Relationship Id="rId112" Type="http://schemas.openxmlformats.org/officeDocument/2006/relationships/image" Target="media/image97.png"/><Relationship Id="rId113" Type="http://schemas.openxmlformats.org/officeDocument/2006/relationships/image" Target="media/image98.png"/><Relationship Id="rId114" Type="http://schemas.openxmlformats.org/officeDocument/2006/relationships/image" Target="media/image99.png"/><Relationship Id="rId115" Type="http://schemas.openxmlformats.org/officeDocument/2006/relationships/image" Target="media/image100.png"/><Relationship Id="rId116" Type="http://schemas.openxmlformats.org/officeDocument/2006/relationships/image" Target="media/image101.png"/><Relationship Id="rId117" Type="http://schemas.openxmlformats.org/officeDocument/2006/relationships/image" Target="media/image102.png"/><Relationship Id="rId119" Type="http://schemas.openxmlformats.org/officeDocument/2006/relationships/image" Target="media/image103.png"/><Relationship Id="rId120" Type="http://schemas.openxmlformats.org/officeDocument/2006/relationships/image" Target="media/image104.png"/><Relationship Id="rId121" Type="http://schemas.openxmlformats.org/officeDocument/2006/relationships/image" Target="media/image105.png"/><Relationship Id="rId122" Type="http://schemas.openxmlformats.org/officeDocument/2006/relationships/image" Target="media/image106.png"/><Relationship Id="rId123" Type="http://schemas.openxmlformats.org/officeDocument/2006/relationships/image" Target="media/image107.png"/><Relationship Id="rId124" Type="http://schemas.openxmlformats.org/officeDocument/2006/relationships/image" Target="media/image108.png"/><Relationship Id="rId125" Type="http://schemas.openxmlformats.org/officeDocument/2006/relationships/image" Target="media/image109.png"/><Relationship Id="rId126" Type="http://schemas.openxmlformats.org/officeDocument/2006/relationships/image" Target="media/image110.png"/><Relationship Id="rId127" Type="http://schemas.openxmlformats.org/officeDocument/2006/relationships/image" Target="media/image111.png"/><Relationship Id="rId128" Type="http://schemas.openxmlformats.org/officeDocument/2006/relationships/image" Target="media/image112.png"/><Relationship Id="rId129" Type="http://schemas.openxmlformats.org/officeDocument/2006/relationships/image" Target="media/image113.png"/><Relationship Id="rId130" Type="http://schemas.openxmlformats.org/officeDocument/2006/relationships/image" Target="media/image114.png"/><Relationship Id="rId131" Type="http://schemas.openxmlformats.org/officeDocument/2006/relationships/image" Target="media/image115.png"/><Relationship Id="rId132" Type="http://schemas.openxmlformats.org/officeDocument/2006/relationships/image" Target="media/image116.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335C679A95F14C8931B9D2C8394336" ma:contentTypeVersion="16" ma:contentTypeDescription="Crée un document." ma:contentTypeScope="" ma:versionID="3947b4fe85a83b7a3f10e51369699c10">
  <xsd:schema xmlns:xsd="http://www.w3.org/2001/XMLSchema" xmlns:xs="http://www.w3.org/2001/XMLSchema" xmlns:p="http://schemas.microsoft.com/office/2006/metadata/properties" xmlns:ns2="f4e7f97a-3aa7-483c-951c-16f4b56384ec" xmlns:ns3="c2016e16-c716-4482-a52f-7c93da5f6c7e" targetNamespace="http://schemas.microsoft.com/office/2006/metadata/properties" ma:root="true" ma:fieldsID="d7bd1d16e4975a74d1193f47476c5333" ns2:_="" ns3:_="">
    <xsd:import namespace="f4e7f97a-3aa7-483c-951c-16f4b56384ec"/>
    <xsd:import namespace="c2016e16-c716-4482-a52f-7c93da5f6c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7f97a-3aa7-483c-951c-16f4b5638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43fc9420-ecc6-451a-8726-b19a7b806f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16e16-c716-4482-a52f-7c93da5f6c7e"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dd1e19db-a8ca-4c7d-aacd-e46abbd9f497}" ma:internalName="TaxCatchAll" ma:readOnly="false" ma:showField="CatchAllData" ma:web="c2016e16-c716-4482-a52f-7c93da5f6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e7f97a-3aa7-483c-951c-16f4b56384ec">
      <Terms xmlns="http://schemas.microsoft.com/office/infopath/2007/PartnerControls"/>
    </lcf76f155ced4ddcb4097134ff3c332f>
    <TaxCatchAll xmlns="c2016e16-c716-4482-a52f-7c93da5f6c7e" xsi:nil="true"/>
    <MediaLengthInSeconds xmlns="f4e7f97a-3aa7-483c-951c-16f4b56384ec" xsi:nil="true"/>
    <SharedWithUsers xmlns="c2016e16-c716-4482-a52f-7c93da5f6c7e">
      <UserInfo>
        <DisplayName/>
        <AccountId xsi:nil="true"/>
        <AccountType/>
      </UserInfo>
    </SharedWithUsers>
  </documentManagement>
</p:properties>
</file>

<file path=customXml/itemProps1.xml><?xml version="1.0" encoding="utf-8"?>
<ds:datastoreItem xmlns:ds="http://schemas.openxmlformats.org/officeDocument/2006/customXml" ds:itemID="{77FA6E14-62E9-4CB0-98B4-75A325B99EB3}">
  <ds:schemaRefs>
    <ds:schemaRef ds:uri="http://schemas.openxmlformats.org/officeDocument/2006/bibliography"/>
  </ds:schemaRefs>
</ds:datastoreItem>
</file>

<file path=customXml/itemProps2.xml><?xml version="1.0" encoding="utf-8"?>
<ds:datastoreItem xmlns:ds="http://schemas.openxmlformats.org/officeDocument/2006/customXml" ds:itemID="{68B92B60-156F-4A65-BD65-5C88274444FB}">
  <ds:schemaRefs>
    <ds:schemaRef ds:uri="http://schemas.microsoft.com/sharepoint/v3/contenttype/forms"/>
  </ds:schemaRefs>
</ds:datastoreItem>
</file>

<file path=customXml/itemProps3.xml><?xml version="1.0" encoding="utf-8"?>
<ds:datastoreItem xmlns:ds="http://schemas.openxmlformats.org/officeDocument/2006/customXml" ds:itemID="{4E61F3BC-FF6F-4AB1-90D7-01370542B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7f97a-3aa7-483c-951c-16f4b56384ec"/>
    <ds:schemaRef ds:uri="c2016e16-c716-4482-a52f-7c93da5f6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A207DE-AAB2-4369-96EE-5510B0C60E43}">
  <ds:schemaRefs>
    <ds:schemaRef ds:uri="http://schemas.microsoft.com/office/2006/metadata/properties"/>
    <ds:schemaRef ds:uri="http://schemas.microsoft.com/office/infopath/2007/PartnerControls"/>
    <ds:schemaRef ds:uri="f4e7f97a-3aa7-483c-951c-16f4b56384ec"/>
    <ds:schemaRef ds:uri="c2016e16-c716-4482-a52f-7c93da5f6c7e"/>
  </ds:schemaRefs>
</ds:datastoreItem>
</file>

<file path=docMetadata/LabelInfo.xml><?xml version="1.0" encoding="utf-8"?>
<clbl:labelList xmlns:clbl="http://schemas.microsoft.com/office/2020/mipLabelMetadata">
  <clbl:label id="{b3c80efa-ba40-4151-bcfd-aec0e7844b0a}" enabled="1" method="Privileged" siteId="{f4f6b57d-47a1-4875-bd9b-4260c557ccbf}" removed="0"/>
</clbl:labelList>
</file>

<file path=docProps/app.xml><?xml version="1.0" encoding="utf-8"?>
<Properties xmlns="http://schemas.openxmlformats.org/officeDocument/2006/extended-properties" xmlns:vt="http://schemas.openxmlformats.org/officeDocument/2006/docPropsVTypes">
  <Template>Normal.dotm</Template>
  <TotalTime>14501</TotalTime>
  <Pages>65</Pages>
  <Words>7893</Words>
  <Characters>43416</Characters>
  <Application>Microsoft Office Word</Application>
  <DocSecurity>0</DocSecurity>
  <Lines>361</Lines>
  <Paragraphs>102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51207</CharactersWithSpaces>
  <SharedDoc>false</SharedDoc>
  <HLinks>
    <vt:vector size="18" baseType="variant">
      <vt:variant>
        <vt:i4>3866671</vt:i4>
      </vt:variant>
      <vt:variant>
        <vt:i4>6</vt:i4>
      </vt:variant>
      <vt:variant>
        <vt:i4>0</vt:i4>
      </vt:variant>
      <vt:variant>
        <vt:i4>5</vt:i4>
      </vt:variant>
      <vt:variant>
        <vt:lpwstr>https://support.virtualia.fr/view.php?id=19217</vt:lpwstr>
      </vt:variant>
      <vt:variant>
        <vt:lpwstr/>
      </vt:variant>
      <vt:variant>
        <vt:i4>3473452</vt:i4>
      </vt:variant>
      <vt:variant>
        <vt:i4>3</vt:i4>
      </vt:variant>
      <vt:variant>
        <vt:i4>0</vt:i4>
      </vt:variant>
      <vt:variant>
        <vt:i4>5</vt:i4>
      </vt:variant>
      <vt:variant>
        <vt:lpwstr>https://support.virtualia.fr/view.php?id=19328</vt:lpwstr>
      </vt:variant>
      <vt:variant>
        <vt:lpwstr/>
      </vt:variant>
      <vt:variant>
        <vt:i4>3932205</vt:i4>
      </vt:variant>
      <vt:variant>
        <vt:i4>0</vt:i4>
      </vt:variant>
      <vt:variant>
        <vt:i4>0</vt:i4>
      </vt:variant>
      <vt:variant>
        <vt:i4>5</vt:i4>
      </vt:variant>
      <vt:variant>
        <vt:lpwstr>https://support.virtualia.fr/view.php?id=19331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Nouveautés GEEF / Virtualia 6.0</dc:title>
  <dc:subject/>
  <dc:creator>Maxime REGNIEZ</dc:creator>
  <cp:keywords/>
  <dc:description/>
  <cp:lastModifiedBy>Maxime REGNIEZ</cp:lastModifiedBy>
  <cp:revision>512</cp:revision>
  <dcterms:created xsi:type="dcterms:W3CDTF">2026-07-31T15:20:00Z</dcterms:created>
  <dcterms:modified xsi:type="dcterms:W3CDTF">2026-09-08T19:39:00Z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0x01010036335C679A95F14C8931B9D2C8394336</vt:lpwstr>
  </property>
  <property fmtid="{D5CDD505-2E9C-101B-9397-08002B2CF9AE}" pid="3" name="MSIP_Label_b3c80efa-ba40-4151-bcfd-aec0e7844b0a_Enabled">
    <vt:lpwstr>true</vt:lpwstr>
  </property>
  <property fmtid="{D5CDD505-2E9C-101B-9397-08002B2CF9AE}" pid="4" name="MSIP_Label_b3c80efa-ba40-4151-bcfd-aec0e7844b0a_SetDate">
    <vt:lpwstr>2021-09-16T13:25:28Z</vt:lpwstr>
  </property>
  <property fmtid="{D5CDD505-2E9C-101B-9397-08002B2CF9AE}" pid="5" name="MSIP_Label_b3c80efa-ba40-4151-bcfd-aec0e7844b0a_Method">
    <vt:lpwstr>Privileged</vt:lpwstr>
  </property>
  <property fmtid="{D5CDD505-2E9C-101B-9397-08002B2CF9AE}" pid="6" name="MSIP_Label_b3c80efa-ba40-4151-bcfd-aec0e7844b0a_Name">
    <vt:lpwstr>C0 - Public</vt:lpwstr>
  </property>
  <property fmtid="{D5CDD505-2E9C-101B-9397-08002B2CF9AE}" pid="7" name="MSIP_Label_b3c80efa-ba40-4151-bcfd-aec0e7844b0a_SiteId">
    <vt:lpwstr>f4f6b57d-47a1-4875-bd9b-4260c557ccbf</vt:lpwstr>
  </property>
  <property fmtid="{D5CDD505-2E9C-101B-9397-08002B2CF9AE}" pid="8" name="MSIP_Label_b3c80efa-ba40-4151-bcfd-aec0e7844b0a_ActionId">
    <vt:lpwstr>e125ad4a-72f4-41ce-bb97-08b428fc336f</vt:lpwstr>
  </property>
  <property fmtid="{D5CDD505-2E9C-101B-9397-08002B2CF9AE}" pid="9" name="MSIP_Label_b3c80efa-ba40-4151-bcfd-aec0e7844b0a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GUID">
    <vt:lpwstr>d57d254d-daad-40bf-99c2-c7a34c676764</vt:lpwstr>
  </property>
</Properties>
</file>